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0C" w:rsidRPr="004C7DEE" w:rsidRDefault="004A22B5" w:rsidP="00446E3A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4C7DEE">
        <w:rPr>
          <w:rFonts w:ascii="Arial" w:hAnsi="Arial" w:cs="Arial"/>
          <w:b/>
          <w:sz w:val="22"/>
          <w:szCs w:val="22"/>
        </w:rPr>
        <w:t>RADIOTAAJUUKSIEN KÄYTÖSTÄ JA TAAJUUSSUUNNITELMASTA ANNETUN VALTIONEUVOSTON ASETUKSEN MUUTTAMINEN</w:t>
      </w:r>
    </w:p>
    <w:p w:rsidR="004A22B5" w:rsidRPr="004C7DEE" w:rsidRDefault="004A22B5" w:rsidP="00446E3A">
      <w:pPr>
        <w:rPr>
          <w:rFonts w:ascii="Arial" w:hAnsi="Arial" w:cs="Arial"/>
          <w:b/>
          <w:sz w:val="22"/>
          <w:szCs w:val="22"/>
        </w:rPr>
      </w:pPr>
    </w:p>
    <w:p w:rsidR="004A22B5" w:rsidRPr="004C7DEE" w:rsidRDefault="004A22B5" w:rsidP="004A22B5">
      <w:pPr>
        <w:pStyle w:val="Luettelokappale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4C7DEE">
        <w:rPr>
          <w:rFonts w:ascii="Arial" w:hAnsi="Arial" w:cs="Arial"/>
          <w:b/>
          <w:sz w:val="22"/>
          <w:szCs w:val="22"/>
        </w:rPr>
        <w:t>ESITYKSEN PÄÄASIALLINEN SISÄLTÖ</w:t>
      </w:r>
    </w:p>
    <w:p w:rsidR="004A22B5" w:rsidRPr="004C7DEE" w:rsidRDefault="004A22B5" w:rsidP="004A22B5">
      <w:pPr>
        <w:rPr>
          <w:rFonts w:ascii="Arial" w:hAnsi="Arial" w:cs="Arial"/>
          <w:b/>
          <w:sz w:val="22"/>
          <w:szCs w:val="22"/>
        </w:rPr>
      </w:pPr>
    </w:p>
    <w:p w:rsidR="004A22B5" w:rsidRPr="004C7DEE" w:rsidRDefault="004A22B5" w:rsidP="004A22B5">
      <w:pPr>
        <w:rPr>
          <w:rFonts w:ascii="Arial" w:hAnsi="Arial" w:cs="Arial"/>
          <w:b/>
          <w:sz w:val="22"/>
          <w:szCs w:val="22"/>
        </w:rPr>
      </w:pPr>
      <w:r w:rsidRPr="004C7DEE">
        <w:rPr>
          <w:rFonts w:ascii="Arial" w:hAnsi="Arial" w:cs="Arial"/>
          <w:b/>
          <w:sz w:val="22"/>
          <w:szCs w:val="22"/>
        </w:rPr>
        <w:t>Asetuksen tarkoitus</w:t>
      </w:r>
    </w:p>
    <w:p w:rsidR="004A22B5" w:rsidRPr="004C7DEE" w:rsidRDefault="004A22B5" w:rsidP="004A22B5">
      <w:pPr>
        <w:rPr>
          <w:rFonts w:ascii="Arial" w:hAnsi="Arial" w:cs="Arial"/>
          <w:b/>
          <w:sz w:val="22"/>
          <w:szCs w:val="22"/>
        </w:rPr>
      </w:pPr>
    </w:p>
    <w:p w:rsidR="004A22B5" w:rsidRPr="004C7DEE" w:rsidRDefault="004A22B5" w:rsidP="001B257B">
      <w:pPr>
        <w:ind w:left="1304" w:firstLine="1"/>
        <w:rPr>
          <w:rFonts w:ascii="Arial" w:hAnsi="Arial" w:cs="Arial"/>
          <w:sz w:val="22"/>
          <w:szCs w:val="22"/>
        </w:rPr>
      </w:pPr>
      <w:r w:rsidRPr="004C7DEE">
        <w:rPr>
          <w:rFonts w:ascii="Arial" w:hAnsi="Arial" w:cs="Arial"/>
          <w:sz w:val="22"/>
          <w:szCs w:val="22"/>
        </w:rPr>
        <w:t xml:space="preserve">Sähköisen viestinnän palveluista annetun lain (917/2014) 95 §:n mukaan valtioneuvoston asetuksella vahvistetaan yleiset periaatteet taajuuksien käytölle toimiluvanvaraiseen tele-, televisio- ja radiotoiminnan harjoittamiseen tarkoitetuille taajuusalueille. Valtioneuvosto on 18 päivänä joulukuuta 2014 antanut valtioneuvoston asetuksen radiotaajuuksien käytöstä ja taajuussuunnitelmasta (1246/2014, jäljempänä </w:t>
      </w:r>
      <w:r w:rsidRPr="004C7DEE">
        <w:rPr>
          <w:rFonts w:ascii="Arial" w:hAnsi="Arial" w:cs="Arial"/>
          <w:i/>
          <w:sz w:val="22"/>
          <w:szCs w:val="22"/>
        </w:rPr>
        <w:t>taajuusasetus</w:t>
      </w:r>
      <w:r w:rsidRPr="004C7DEE">
        <w:rPr>
          <w:rFonts w:ascii="Arial" w:hAnsi="Arial" w:cs="Arial"/>
          <w:sz w:val="22"/>
          <w:szCs w:val="22"/>
        </w:rPr>
        <w:t>). Asetuksessa on säännökset televisio-, radio- ja matkaviestinverkkojen lukumäärästä, toimintaan käytettävistä taajuusalueista sekä eräistä teknisluonteisista seikoista. Asetuksen liitteenä on yksityiskohtainen listaus toimiluvanvaraiseen teletoimintaan varattujen taajuusalueiden käyttörajoituksista.</w:t>
      </w:r>
    </w:p>
    <w:p w:rsidR="00494965" w:rsidRPr="004C7DEE" w:rsidRDefault="00494965" w:rsidP="001B257B">
      <w:pPr>
        <w:rPr>
          <w:rFonts w:ascii="Arial" w:hAnsi="Arial" w:cs="Arial"/>
          <w:sz w:val="22"/>
          <w:szCs w:val="22"/>
        </w:rPr>
      </w:pPr>
    </w:p>
    <w:p w:rsidR="007614CA" w:rsidRDefault="007614CA" w:rsidP="007614CA">
      <w:pPr>
        <w:pStyle w:val="Leipteksti"/>
        <w:ind w:left="130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Taajuusasetuksessa esitetään muutettavaksi tutkimus-, tuotekehitys- ja opetuskäyttöön (TTO) varattujen taajuuksien määrää ja maantieteellisiä alueita. Tällä hetkellä TTO-käyttöön on varattu taajuuksia 1800 megahertsin taajuusalueelta, 2100 megahertsin taajuusalueelta, 2100 megahertsin taajuusalueelta, 2600 megahertsin taajuusalueelta ja 3,5 gigahertsin taajuusalueelta. Maantieteellisesti rajoitteet sijoittautuvat pääkaupunkiseudulle, Tampereelle ja Ouluun. </w:t>
      </w:r>
    </w:p>
    <w:p w:rsidR="007614CA" w:rsidRDefault="007614CA" w:rsidP="007614CA">
      <w:pPr>
        <w:pStyle w:val="Leipteksti"/>
        <w:ind w:left="1304"/>
        <w:rPr>
          <w:rFonts w:ascii="Arial" w:hAnsi="Arial" w:cs="Arial"/>
          <w:szCs w:val="22"/>
        </w:rPr>
      </w:pPr>
    </w:p>
    <w:p w:rsidR="007614CA" w:rsidRDefault="007614CA" w:rsidP="007614CA">
      <w:pPr>
        <w:pStyle w:val="Leipteksti"/>
        <w:ind w:left="130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Maantieteellisiä rajoitteita esitetään pienennettäväksi kaikkien taajuusalueiden osalta. TTO-käyttöön varattuja taajuuksia ja niiden määrää esitetään puolestaan muutettavaksi ainoastaan 3,5 gigahertsin taajuusalueen osalta. 3,5 gigahertsin taajuusalue on osoitettu langattoman laajakaistan käyttöön vuoden 2019 alusta. Taajuusaluetta voidaa</w:t>
      </w:r>
      <w:r w:rsidR="00611B98">
        <w:rPr>
          <w:rFonts w:ascii="Arial" w:hAnsi="Arial" w:cs="Arial"/>
          <w:szCs w:val="22"/>
        </w:rPr>
        <w:t xml:space="preserve">n hyödyntää 5G-yhteyksien rakentamiseen. </w:t>
      </w:r>
    </w:p>
    <w:p w:rsidR="007614CA" w:rsidRDefault="007614CA" w:rsidP="00494965">
      <w:pPr>
        <w:ind w:left="1304" w:firstLine="1"/>
        <w:rPr>
          <w:rFonts w:ascii="Arial" w:hAnsi="Arial" w:cs="Arial"/>
          <w:sz w:val="22"/>
          <w:szCs w:val="22"/>
        </w:rPr>
      </w:pPr>
    </w:p>
    <w:p w:rsidR="00494965" w:rsidRPr="004C7DEE" w:rsidRDefault="00494965" w:rsidP="00494965">
      <w:pPr>
        <w:ind w:left="1304" w:firstLine="1"/>
        <w:rPr>
          <w:rFonts w:ascii="Arial" w:hAnsi="Arial" w:cs="Arial"/>
          <w:sz w:val="22"/>
          <w:szCs w:val="22"/>
        </w:rPr>
      </w:pPr>
      <w:r w:rsidRPr="004C7DEE">
        <w:rPr>
          <w:rFonts w:ascii="Arial" w:hAnsi="Arial" w:cs="Arial"/>
          <w:sz w:val="22"/>
          <w:szCs w:val="22"/>
        </w:rPr>
        <w:t xml:space="preserve">Muutoksella </w:t>
      </w:r>
      <w:r w:rsidR="00611B98">
        <w:rPr>
          <w:rFonts w:ascii="Arial" w:hAnsi="Arial" w:cs="Arial"/>
          <w:sz w:val="22"/>
          <w:szCs w:val="22"/>
        </w:rPr>
        <w:t xml:space="preserve">pyritään </w:t>
      </w:r>
      <w:r w:rsidRPr="004C7DEE">
        <w:rPr>
          <w:rFonts w:ascii="Arial" w:hAnsi="Arial" w:cs="Arial"/>
          <w:sz w:val="22"/>
          <w:szCs w:val="22"/>
        </w:rPr>
        <w:t>sovit</w:t>
      </w:r>
      <w:r w:rsidR="00611B98">
        <w:rPr>
          <w:rFonts w:ascii="Arial" w:hAnsi="Arial" w:cs="Arial"/>
          <w:sz w:val="22"/>
          <w:szCs w:val="22"/>
        </w:rPr>
        <w:t>tamaan</w:t>
      </w:r>
      <w:r w:rsidRPr="004C7DEE">
        <w:rPr>
          <w:rFonts w:ascii="Arial" w:hAnsi="Arial" w:cs="Arial"/>
          <w:sz w:val="22"/>
          <w:szCs w:val="22"/>
        </w:rPr>
        <w:t xml:space="preserve"> yhteen loppukäyttäjien ja teleyritysten intressit sekä verkko- ja laitevalmistajien ja muiden testaus- ja tutkimustoimintaa harjoittavien toimijoiden intressit.</w:t>
      </w:r>
    </w:p>
    <w:p w:rsidR="00494965" w:rsidRPr="004C7DEE" w:rsidRDefault="00494965" w:rsidP="00494965">
      <w:pPr>
        <w:ind w:left="1304" w:firstLine="1"/>
        <w:rPr>
          <w:rFonts w:ascii="Arial" w:hAnsi="Arial" w:cs="Arial"/>
          <w:sz w:val="22"/>
          <w:szCs w:val="22"/>
        </w:rPr>
      </w:pPr>
    </w:p>
    <w:p w:rsidR="00060AB3" w:rsidRPr="004C7DEE" w:rsidRDefault="00494965" w:rsidP="00060AB3">
      <w:pPr>
        <w:ind w:left="1304" w:firstLine="1"/>
        <w:rPr>
          <w:rFonts w:ascii="Arial" w:hAnsi="Arial" w:cs="Arial"/>
          <w:sz w:val="22"/>
          <w:szCs w:val="22"/>
        </w:rPr>
      </w:pPr>
      <w:r w:rsidRPr="004C7DEE">
        <w:rPr>
          <w:rFonts w:ascii="Arial" w:hAnsi="Arial" w:cs="Arial"/>
          <w:sz w:val="22"/>
          <w:szCs w:val="22"/>
        </w:rPr>
        <w:t xml:space="preserve">Lisäksi taajuusasetuksessa sallittaisiin </w:t>
      </w:r>
      <w:r w:rsidR="00060AB3" w:rsidRPr="004C7DEE">
        <w:rPr>
          <w:rFonts w:ascii="Arial" w:hAnsi="Arial" w:cs="Arial"/>
          <w:sz w:val="22"/>
          <w:szCs w:val="22"/>
        </w:rPr>
        <w:t xml:space="preserve">matkaviestintoiminnan harjoittaminen 5G-tekniikalla 880–915 megahertsin ja 925–960 megahertsin taajuusalueella (niin sanottu 900 megahertsin taajuusalue), 1 710–1 785 megahertsin ja 1 805–1 880 megahertsin taajuusalueella (niin sanottu 1800 megahertsin taajuusalue) sekä1 920–1 980 megahertsin ja 2 110–2 170 megahertsin taajuusalueilla (niin sanottu 2100 megahertsin taajuusalue). Samalla taajuusasetuksesta poistettaisiin mahdollisuus harjoittaa matkaviestintoimintaa näillä taajuusalueilla </w:t>
      </w:r>
      <w:proofErr w:type="spellStart"/>
      <w:r w:rsidR="00060AB3" w:rsidRPr="004C7DEE">
        <w:rPr>
          <w:rFonts w:ascii="Arial" w:hAnsi="Arial" w:cs="Arial"/>
          <w:sz w:val="22"/>
          <w:szCs w:val="22"/>
        </w:rPr>
        <w:t>Wimax</w:t>
      </w:r>
      <w:proofErr w:type="spellEnd"/>
      <w:r w:rsidR="00060AB3" w:rsidRPr="004C7DEE">
        <w:rPr>
          <w:rFonts w:ascii="Arial" w:hAnsi="Arial" w:cs="Arial"/>
          <w:sz w:val="22"/>
          <w:szCs w:val="22"/>
        </w:rPr>
        <w:t xml:space="preserve">-tekniikalla. </w:t>
      </w:r>
      <w:r w:rsidR="00611B98">
        <w:rPr>
          <w:rFonts w:ascii="Arial" w:hAnsi="Arial" w:cs="Arial"/>
          <w:sz w:val="22"/>
          <w:szCs w:val="22"/>
        </w:rPr>
        <w:t xml:space="preserve">Matkaviestintoimintaa ei Suomessa enää harjoiteta </w:t>
      </w:r>
      <w:proofErr w:type="spellStart"/>
      <w:r w:rsidR="00611B98">
        <w:rPr>
          <w:rFonts w:ascii="Arial" w:hAnsi="Arial" w:cs="Arial"/>
          <w:sz w:val="22"/>
          <w:szCs w:val="22"/>
        </w:rPr>
        <w:t>Wimax</w:t>
      </w:r>
      <w:proofErr w:type="spellEnd"/>
      <w:r w:rsidR="00611B98">
        <w:rPr>
          <w:rFonts w:ascii="Arial" w:hAnsi="Arial" w:cs="Arial"/>
          <w:sz w:val="22"/>
          <w:szCs w:val="22"/>
        </w:rPr>
        <w:t xml:space="preserve">-tekniikalla. </w:t>
      </w:r>
    </w:p>
    <w:p w:rsidR="00494965" w:rsidRPr="004C7DEE" w:rsidRDefault="00494965" w:rsidP="00060AB3">
      <w:pPr>
        <w:ind w:left="1304" w:firstLine="1"/>
        <w:rPr>
          <w:rFonts w:ascii="Arial" w:hAnsi="Arial" w:cs="Arial"/>
          <w:sz w:val="22"/>
          <w:szCs w:val="22"/>
        </w:rPr>
      </w:pPr>
    </w:p>
    <w:p w:rsidR="00060AB3" w:rsidRPr="004C7DEE" w:rsidRDefault="00060AB3" w:rsidP="00060AB3">
      <w:pPr>
        <w:ind w:left="1304" w:firstLine="1"/>
        <w:rPr>
          <w:rFonts w:ascii="Arial" w:hAnsi="Arial" w:cs="Arial"/>
          <w:sz w:val="22"/>
          <w:szCs w:val="22"/>
        </w:rPr>
      </w:pPr>
      <w:r w:rsidRPr="004C7DEE">
        <w:rPr>
          <w:rFonts w:ascii="Arial" w:hAnsi="Arial" w:cs="Arial"/>
          <w:sz w:val="22"/>
          <w:szCs w:val="22"/>
        </w:rPr>
        <w:t xml:space="preserve">Tällä hetkellä taajuusasetuksen mukaan 900 ja 1800 megahertsin taajuusalueilla saa harjoittaa matkaviestintoimintaa GSM-, UMTS-, LTE- ja </w:t>
      </w:r>
      <w:proofErr w:type="spellStart"/>
      <w:r w:rsidRPr="004C7DEE">
        <w:rPr>
          <w:rFonts w:ascii="Arial" w:hAnsi="Arial" w:cs="Arial"/>
          <w:sz w:val="22"/>
          <w:szCs w:val="22"/>
        </w:rPr>
        <w:t>Wimax</w:t>
      </w:r>
      <w:proofErr w:type="spellEnd"/>
      <w:r w:rsidRPr="004C7DEE">
        <w:rPr>
          <w:rFonts w:ascii="Arial" w:hAnsi="Arial" w:cs="Arial"/>
          <w:sz w:val="22"/>
          <w:szCs w:val="22"/>
        </w:rPr>
        <w:t xml:space="preserve">-tekniikalla. 2100 megahertsin taajuusalueella saa puolestaan harjoittaa matkaviestintoimintaa UMTS-, LTE- ja </w:t>
      </w:r>
      <w:proofErr w:type="spellStart"/>
      <w:r w:rsidRPr="004C7DEE">
        <w:rPr>
          <w:rFonts w:ascii="Arial" w:hAnsi="Arial" w:cs="Arial"/>
          <w:sz w:val="22"/>
          <w:szCs w:val="22"/>
        </w:rPr>
        <w:t>Wimax</w:t>
      </w:r>
      <w:proofErr w:type="spellEnd"/>
      <w:r w:rsidRPr="004C7DEE">
        <w:rPr>
          <w:rFonts w:ascii="Arial" w:hAnsi="Arial" w:cs="Arial"/>
          <w:sz w:val="22"/>
          <w:szCs w:val="22"/>
        </w:rPr>
        <w:t xml:space="preserve">-tekniikalla. </w:t>
      </w:r>
    </w:p>
    <w:p w:rsidR="005D17DB" w:rsidRPr="004C7DEE" w:rsidRDefault="005D17DB" w:rsidP="005D17DB">
      <w:pPr>
        <w:rPr>
          <w:rFonts w:ascii="Arial" w:hAnsi="Arial" w:cs="Arial"/>
          <w:sz w:val="22"/>
          <w:szCs w:val="22"/>
        </w:rPr>
      </w:pPr>
    </w:p>
    <w:p w:rsidR="005D17DB" w:rsidRPr="0022091E" w:rsidRDefault="005D17DB" w:rsidP="005D17DB">
      <w:pPr>
        <w:rPr>
          <w:rFonts w:ascii="Arial" w:hAnsi="Arial" w:cs="Arial"/>
          <w:b/>
          <w:sz w:val="22"/>
          <w:szCs w:val="22"/>
        </w:rPr>
      </w:pPr>
      <w:r w:rsidRPr="0022091E">
        <w:rPr>
          <w:rFonts w:ascii="Arial" w:hAnsi="Arial" w:cs="Arial"/>
          <w:b/>
          <w:sz w:val="22"/>
          <w:szCs w:val="22"/>
        </w:rPr>
        <w:t>Asetuksen vaikutukset</w:t>
      </w:r>
    </w:p>
    <w:p w:rsidR="005D17DB" w:rsidRPr="004C7DEE" w:rsidRDefault="005D17DB" w:rsidP="005D17DB">
      <w:pPr>
        <w:rPr>
          <w:rFonts w:ascii="Arial" w:hAnsi="Arial" w:cs="Arial"/>
          <w:sz w:val="22"/>
          <w:szCs w:val="22"/>
        </w:rPr>
      </w:pPr>
    </w:p>
    <w:p w:rsidR="006464CB" w:rsidRPr="004C7DEE" w:rsidRDefault="006464CB" w:rsidP="006464CB">
      <w:pPr>
        <w:ind w:left="1304" w:firstLine="1"/>
        <w:rPr>
          <w:rFonts w:ascii="Arial" w:hAnsi="Arial" w:cs="Arial"/>
          <w:sz w:val="22"/>
          <w:szCs w:val="22"/>
        </w:rPr>
      </w:pPr>
    </w:p>
    <w:p w:rsidR="004C7DEE" w:rsidRDefault="004C7DEE" w:rsidP="004C7DEE">
      <w:pPr>
        <w:ind w:left="1304" w:firstLine="1"/>
        <w:rPr>
          <w:rFonts w:ascii="Arial" w:hAnsi="Arial" w:cs="Arial"/>
          <w:sz w:val="22"/>
          <w:szCs w:val="22"/>
        </w:rPr>
      </w:pPr>
    </w:p>
    <w:p w:rsidR="007A21AA" w:rsidRDefault="007A21AA" w:rsidP="007A21AA">
      <w:pPr>
        <w:ind w:left="1304" w:firstLine="1"/>
        <w:rPr>
          <w:rFonts w:ascii="Arial" w:hAnsi="Arial" w:cs="Arial"/>
          <w:sz w:val="22"/>
          <w:szCs w:val="22"/>
        </w:rPr>
      </w:pPr>
      <w:r w:rsidRPr="007A21AA">
        <w:rPr>
          <w:rFonts w:ascii="Arial" w:hAnsi="Arial" w:cs="Arial"/>
          <w:sz w:val="22"/>
          <w:szCs w:val="22"/>
        </w:rPr>
        <w:t>Viestintävirasto on myöntänyt lukuisia radiolupia</w:t>
      </w:r>
      <w:r>
        <w:rPr>
          <w:rFonts w:ascii="Arial" w:hAnsi="Arial" w:cs="Arial"/>
          <w:sz w:val="22"/>
          <w:szCs w:val="22"/>
        </w:rPr>
        <w:t xml:space="preserve"> muun muassa 3,5 gigahertsin taajuusalueelta 5G-teknologian </w:t>
      </w:r>
      <w:r w:rsidRPr="007A21AA">
        <w:rPr>
          <w:rFonts w:ascii="Arial" w:hAnsi="Arial" w:cs="Arial"/>
          <w:sz w:val="22"/>
          <w:szCs w:val="22"/>
        </w:rPr>
        <w:t>tutkimus- ja tuotekehityskäyttöön Suomessa</w:t>
      </w:r>
      <w:r>
        <w:rPr>
          <w:rFonts w:ascii="Arial" w:hAnsi="Arial" w:cs="Arial"/>
          <w:sz w:val="22"/>
          <w:szCs w:val="22"/>
        </w:rPr>
        <w:t xml:space="preserve"> toimiville laitevalmistajille, </w:t>
      </w:r>
      <w:r w:rsidRPr="007A21AA">
        <w:rPr>
          <w:rFonts w:ascii="Arial" w:hAnsi="Arial" w:cs="Arial"/>
          <w:sz w:val="22"/>
          <w:szCs w:val="22"/>
        </w:rPr>
        <w:t>tutkimuslaitoksille ja tutkimushankkeille.</w:t>
      </w:r>
      <w:r>
        <w:rPr>
          <w:rFonts w:ascii="Arial" w:hAnsi="Arial" w:cs="Arial"/>
          <w:sz w:val="22"/>
          <w:szCs w:val="22"/>
        </w:rPr>
        <w:t xml:space="preserve"> Suomeen on kehittynyt </w:t>
      </w:r>
      <w:r>
        <w:rPr>
          <w:rFonts w:ascii="Arial" w:hAnsi="Arial" w:cs="Arial"/>
          <w:sz w:val="22"/>
          <w:szCs w:val="22"/>
        </w:rPr>
        <w:lastRenderedPageBreak/>
        <w:t xml:space="preserve">laaja ja monipuolinen 5G-teknologian ekosysteemi. Muutoksella </w:t>
      </w:r>
      <w:proofErr w:type="spellStart"/>
      <w:r>
        <w:rPr>
          <w:rFonts w:ascii="Arial" w:hAnsi="Arial" w:cs="Arial"/>
          <w:sz w:val="22"/>
          <w:szCs w:val="22"/>
        </w:rPr>
        <w:t>yhteensovitetaan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7A21AA">
        <w:rPr>
          <w:rFonts w:ascii="Arial" w:hAnsi="Arial" w:cs="Arial"/>
          <w:sz w:val="22"/>
          <w:szCs w:val="22"/>
        </w:rPr>
        <w:t>teleyritysten kaupalliset intressit sekä verkko-</w:t>
      </w:r>
      <w:r>
        <w:rPr>
          <w:rFonts w:ascii="Arial" w:hAnsi="Arial" w:cs="Arial"/>
          <w:sz w:val="22"/>
          <w:szCs w:val="22"/>
        </w:rPr>
        <w:t xml:space="preserve"> ja laitevalmistajien ja muiden </w:t>
      </w:r>
      <w:r w:rsidRPr="007A21AA">
        <w:rPr>
          <w:rFonts w:ascii="Arial" w:hAnsi="Arial" w:cs="Arial"/>
          <w:sz w:val="22"/>
          <w:szCs w:val="22"/>
        </w:rPr>
        <w:t>testaus- ja tutkimustoimintaa harjoittavien toimijoiden intressit.</w:t>
      </w:r>
    </w:p>
    <w:p w:rsidR="00090D7F" w:rsidRDefault="00090D7F" w:rsidP="007A21AA">
      <w:pPr>
        <w:ind w:left="1304" w:firstLine="1"/>
        <w:rPr>
          <w:rFonts w:ascii="Arial" w:hAnsi="Arial" w:cs="Arial"/>
          <w:sz w:val="22"/>
          <w:szCs w:val="22"/>
        </w:rPr>
      </w:pPr>
    </w:p>
    <w:p w:rsidR="00090D7F" w:rsidRPr="00090D7F" w:rsidRDefault="00090D7F" w:rsidP="00090D7F">
      <w:pPr>
        <w:ind w:left="1304"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Muutos</w:t>
      </w:r>
      <w:r w:rsidRPr="00090D7F">
        <w:rPr>
          <w:rFonts w:ascii="Arial" w:hAnsi="Arial" w:cs="Arial"/>
          <w:sz w:val="22"/>
          <w:szCs w:val="22"/>
        </w:rPr>
        <w:t xml:space="preserve"> parantaa loppuasiakkaiden käyttämien mobiililaajakaistapalvelujen laatua j</w:t>
      </w:r>
      <w:r>
        <w:rPr>
          <w:rFonts w:ascii="Arial" w:hAnsi="Arial" w:cs="Arial"/>
          <w:sz w:val="22"/>
          <w:szCs w:val="22"/>
        </w:rPr>
        <w:t xml:space="preserve">a käytettävyyttä TTO-alueilla. Lisäksi se </w:t>
      </w:r>
      <w:r w:rsidRPr="00090D7F">
        <w:rPr>
          <w:rFonts w:ascii="Arial" w:hAnsi="Arial" w:cs="Arial"/>
          <w:sz w:val="22"/>
          <w:szCs w:val="22"/>
        </w:rPr>
        <w:t xml:space="preserve">edistää matkaviestinverkko-operaattoreiden investointeja ja parantaa operaattoreiden tarjoamien palvelujen kapasiteettia. </w:t>
      </w:r>
      <w:r>
        <w:rPr>
          <w:rFonts w:ascii="Arial" w:hAnsi="Arial" w:cs="Arial"/>
          <w:sz w:val="22"/>
          <w:szCs w:val="22"/>
        </w:rPr>
        <w:t>Muutoksella</w:t>
      </w:r>
      <w:r w:rsidRPr="00090D7F">
        <w:rPr>
          <w:rFonts w:ascii="Arial" w:hAnsi="Arial" w:cs="Arial"/>
          <w:sz w:val="22"/>
          <w:szCs w:val="22"/>
        </w:rPr>
        <w:t xml:space="preserve"> ei voida arvioida olevan merkittävää vaikutusta operaattoreiden liikevaihtoon tai tulokseen.</w:t>
      </w:r>
    </w:p>
    <w:p w:rsidR="00090D7F" w:rsidRPr="00090D7F" w:rsidRDefault="00090D7F" w:rsidP="00090D7F">
      <w:pPr>
        <w:ind w:left="1304" w:firstLine="1"/>
        <w:rPr>
          <w:rFonts w:ascii="Arial" w:hAnsi="Arial" w:cs="Arial"/>
          <w:sz w:val="22"/>
          <w:szCs w:val="22"/>
        </w:rPr>
      </w:pPr>
    </w:p>
    <w:p w:rsidR="00090D7F" w:rsidRDefault="00090D7F" w:rsidP="00090D7F">
      <w:pPr>
        <w:ind w:left="1304" w:firstLine="1"/>
        <w:rPr>
          <w:rFonts w:ascii="Arial" w:hAnsi="Arial" w:cs="Arial"/>
          <w:sz w:val="22"/>
          <w:szCs w:val="22"/>
        </w:rPr>
      </w:pPr>
      <w:r w:rsidRPr="00090D7F">
        <w:rPr>
          <w:rFonts w:ascii="Arial" w:hAnsi="Arial" w:cs="Arial"/>
          <w:sz w:val="22"/>
          <w:szCs w:val="22"/>
        </w:rPr>
        <w:t xml:space="preserve">Tutkimusta ja tuotekehitystä tekeville organisaatioille </w:t>
      </w:r>
      <w:r>
        <w:rPr>
          <w:rFonts w:ascii="Arial" w:hAnsi="Arial" w:cs="Arial"/>
          <w:sz w:val="22"/>
          <w:szCs w:val="22"/>
        </w:rPr>
        <w:t>muutos</w:t>
      </w:r>
      <w:r w:rsidRPr="00090D7F">
        <w:rPr>
          <w:rFonts w:ascii="Arial" w:hAnsi="Arial" w:cs="Arial"/>
          <w:sz w:val="22"/>
          <w:szCs w:val="22"/>
        </w:rPr>
        <w:t xml:space="preserve"> turvaa riittävästi taajuuksia monipuoliseen tutkimus-, tuotekehitys- ja opetuskäyttöön. </w:t>
      </w:r>
      <w:r>
        <w:rPr>
          <w:rFonts w:ascii="Arial" w:hAnsi="Arial" w:cs="Arial"/>
          <w:sz w:val="22"/>
          <w:szCs w:val="22"/>
        </w:rPr>
        <w:t>Muutos</w:t>
      </w:r>
      <w:r w:rsidRPr="00090D7F">
        <w:rPr>
          <w:rFonts w:ascii="Arial" w:hAnsi="Arial" w:cs="Arial"/>
          <w:sz w:val="22"/>
          <w:szCs w:val="22"/>
        </w:rPr>
        <w:t xml:space="preserve"> mahdollistaa jatkossakin taajuuksien kustannustehokkaan hyödyntämisen organisaatioiden toimipisteiden alueilla.</w:t>
      </w:r>
    </w:p>
    <w:p w:rsidR="00611B98" w:rsidRDefault="00611B98" w:rsidP="00090D7F">
      <w:pPr>
        <w:ind w:left="1304" w:firstLine="1"/>
        <w:rPr>
          <w:rFonts w:ascii="Arial" w:hAnsi="Arial" w:cs="Arial"/>
          <w:sz w:val="22"/>
          <w:szCs w:val="22"/>
        </w:rPr>
      </w:pPr>
    </w:p>
    <w:p w:rsidR="00611B98" w:rsidRPr="004C7DEE" w:rsidRDefault="00611B98" w:rsidP="00611B98">
      <w:pPr>
        <w:ind w:left="1304" w:firstLine="1"/>
        <w:rPr>
          <w:rFonts w:ascii="Arial" w:hAnsi="Arial" w:cs="Arial"/>
          <w:sz w:val="22"/>
          <w:szCs w:val="22"/>
        </w:rPr>
      </w:pPr>
      <w:r w:rsidRPr="004C7DEE">
        <w:rPr>
          <w:rFonts w:ascii="Arial" w:hAnsi="Arial" w:cs="Arial"/>
          <w:sz w:val="22"/>
          <w:szCs w:val="22"/>
        </w:rPr>
        <w:t xml:space="preserve">Muutoksella mahdollistetaan matkaviestintoiminnan harjoittaminen 5G-tekniikalla kolmella uudella taajuusalueella. 5G-teknologia mahdollistaa muun muassa nykyistä vielä nopeammat langattomat yhteydet, pienemmän tiedonsiirron viiveen ja energiatehokkuuden. </w:t>
      </w:r>
    </w:p>
    <w:p w:rsidR="00611B98" w:rsidRPr="004C7DEE" w:rsidRDefault="00611B98" w:rsidP="00611B98">
      <w:pPr>
        <w:ind w:left="1304" w:firstLine="1"/>
        <w:rPr>
          <w:rFonts w:ascii="Arial" w:hAnsi="Arial" w:cs="Arial"/>
          <w:sz w:val="22"/>
          <w:szCs w:val="22"/>
        </w:rPr>
      </w:pPr>
      <w:r w:rsidRPr="004C7DEE">
        <w:rPr>
          <w:rFonts w:ascii="Arial" w:hAnsi="Arial" w:cs="Arial"/>
          <w:sz w:val="22"/>
          <w:szCs w:val="22"/>
        </w:rPr>
        <w:t xml:space="preserve">Erityisesti 3,5 gigahertsin taajuusalueen on katsottu olevan Suomessa alkuvaiheessa keskeinen 5G:n rakentumisen kannalta, ja sillä voidaan tarjota ensimmäisiä 5G-palveluja ja rakentaa ensimmäisiä 5G –verkkoja. Tätä matalammilla taajuusalueilla voidaan puolestaan rakentaa valtakunnallisesti kattava 5G-peitto, mutta taajuuskaistojen kapeuden vuoksi niillä ei voida toteuttaa huippunopeita 5G-tiedonsiirtoyhteyksiä. 900, 1800 ja 2100 megahertsin taajuusalueita voitaisiinkin </w:t>
      </w:r>
      <w:r>
        <w:rPr>
          <w:rFonts w:ascii="Arial" w:hAnsi="Arial" w:cs="Arial"/>
          <w:sz w:val="22"/>
          <w:szCs w:val="22"/>
        </w:rPr>
        <w:t>hyödyntää laajan peiton rakentamiseen kustannustehokkaasti</w:t>
      </w:r>
      <w:r w:rsidR="00FE1F81">
        <w:rPr>
          <w:rFonts w:ascii="Arial" w:hAnsi="Arial" w:cs="Arial"/>
          <w:sz w:val="22"/>
          <w:szCs w:val="22"/>
        </w:rPr>
        <w:t xml:space="preserve">. </w:t>
      </w:r>
    </w:p>
    <w:p w:rsidR="007A21AA" w:rsidRDefault="007A21AA" w:rsidP="007A21AA">
      <w:pPr>
        <w:ind w:left="1304" w:firstLine="1"/>
        <w:rPr>
          <w:rFonts w:ascii="Arial" w:hAnsi="Arial" w:cs="Arial"/>
          <w:sz w:val="22"/>
          <w:szCs w:val="22"/>
        </w:rPr>
      </w:pPr>
    </w:p>
    <w:p w:rsidR="0022091E" w:rsidRPr="00276434" w:rsidRDefault="0022091E" w:rsidP="00276434">
      <w:pPr>
        <w:pStyle w:val="Luettelokappale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22091E">
        <w:rPr>
          <w:rFonts w:ascii="Arial" w:hAnsi="Arial" w:cs="Arial"/>
          <w:b/>
          <w:sz w:val="22"/>
          <w:szCs w:val="22"/>
        </w:rPr>
        <w:t>ASETUKSEN YKSITYISKOHTAINEN SISÄLTÖ</w:t>
      </w:r>
      <w:r w:rsidRPr="00276434">
        <w:rPr>
          <w:rFonts w:ascii="Arial" w:hAnsi="Arial" w:cs="Arial"/>
          <w:sz w:val="22"/>
          <w:szCs w:val="22"/>
        </w:rPr>
        <w:t xml:space="preserve"> </w:t>
      </w:r>
    </w:p>
    <w:p w:rsidR="0022091E" w:rsidRDefault="0022091E" w:rsidP="0022091E">
      <w:pPr>
        <w:ind w:left="1304"/>
        <w:rPr>
          <w:rFonts w:ascii="Arial" w:hAnsi="Arial" w:cs="Arial"/>
          <w:b/>
          <w:sz w:val="22"/>
          <w:szCs w:val="22"/>
        </w:rPr>
      </w:pPr>
    </w:p>
    <w:p w:rsidR="0022091E" w:rsidRDefault="0022091E" w:rsidP="0022091E">
      <w:pPr>
        <w:ind w:left="130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 § Kolmannen sukupolven matkaviestinverkot</w:t>
      </w:r>
    </w:p>
    <w:p w:rsidR="00276434" w:rsidRDefault="00276434" w:rsidP="0022091E">
      <w:pPr>
        <w:ind w:left="1304"/>
        <w:rPr>
          <w:rFonts w:ascii="Arial" w:hAnsi="Arial" w:cs="Arial"/>
          <w:b/>
          <w:sz w:val="22"/>
          <w:szCs w:val="22"/>
        </w:rPr>
      </w:pPr>
    </w:p>
    <w:p w:rsidR="001B257B" w:rsidRPr="001B257B" w:rsidRDefault="00276434" w:rsidP="001B257B">
      <w:pPr>
        <w:ind w:left="1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Pykälässä säädetään kolmannen sukupolven digitaaliseen matkaviestintoimintaan (UMTS) käytettävistä taajuuksista. </w:t>
      </w:r>
      <w:r w:rsidR="001B257B">
        <w:rPr>
          <w:rFonts w:ascii="Arial" w:hAnsi="Arial" w:cs="Arial"/>
          <w:sz w:val="22"/>
          <w:szCs w:val="22"/>
        </w:rPr>
        <w:t>Sen mukaan k</w:t>
      </w:r>
      <w:r w:rsidR="001B257B" w:rsidRPr="001B257B">
        <w:rPr>
          <w:rFonts w:ascii="Arial" w:hAnsi="Arial" w:cs="Arial"/>
          <w:sz w:val="22"/>
          <w:szCs w:val="22"/>
        </w:rPr>
        <w:t>olmannen sukupolven digitaaliseen matkaviestintoimintaan (UMTS) käytettävät taajuusalueet ovat 1 900–1 980 megahertsiä ja 2 110– 2 170 megahertsiä.</w:t>
      </w:r>
      <w:r w:rsidR="001B257B">
        <w:rPr>
          <w:rFonts w:ascii="Arial" w:hAnsi="Arial" w:cs="Arial"/>
          <w:sz w:val="22"/>
          <w:szCs w:val="22"/>
        </w:rPr>
        <w:t xml:space="preserve"> </w:t>
      </w:r>
      <w:r w:rsidR="001B257B" w:rsidRPr="001B257B">
        <w:rPr>
          <w:rFonts w:ascii="Arial" w:hAnsi="Arial" w:cs="Arial"/>
          <w:sz w:val="22"/>
          <w:szCs w:val="22"/>
        </w:rPr>
        <w:t xml:space="preserve">Taajuusalue 1900-1920 MHz ei </w:t>
      </w:r>
      <w:r w:rsidR="001B257B">
        <w:rPr>
          <w:rFonts w:ascii="Arial" w:hAnsi="Arial" w:cs="Arial"/>
          <w:sz w:val="22"/>
          <w:szCs w:val="22"/>
        </w:rPr>
        <w:t xml:space="preserve">kuitenkaan </w:t>
      </w:r>
      <w:r w:rsidR="001B257B" w:rsidRPr="001B257B">
        <w:rPr>
          <w:rFonts w:ascii="Arial" w:hAnsi="Arial" w:cs="Arial"/>
          <w:sz w:val="22"/>
          <w:szCs w:val="22"/>
        </w:rPr>
        <w:t>ole enää Euroopassa harmonisoitu matkaviestinkäyttöön ja sille</w:t>
      </w:r>
      <w:r w:rsidR="001B257B">
        <w:rPr>
          <w:rFonts w:ascii="Arial" w:hAnsi="Arial" w:cs="Arial"/>
          <w:sz w:val="22"/>
          <w:szCs w:val="22"/>
        </w:rPr>
        <w:t xml:space="preserve"> on suunnitteilla muuta käyttöä. Näin ollen k</w:t>
      </w:r>
      <w:r w:rsidR="001B257B" w:rsidRPr="001B257B">
        <w:rPr>
          <w:rFonts w:ascii="Arial" w:hAnsi="Arial" w:cs="Arial"/>
          <w:sz w:val="22"/>
          <w:szCs w:val="22"/>
        </w:rPr>
        <w:t>olmannen sukupolven digitaaliseen matkaviestintoimintaan (UMTS) käytettävät taajuusalueet</w:t>
      </w:r>
      <w:r w:rsidR="001B257B">
        <w:rPr>
          <w:rFonts w:ascii="Arial" w:hAnsi="Arial" w:cs="Arial"/>
          <w:sz w:val="22"/>
          <w:szCs w:val="22"/>
        </w:rPr>
        <w:t xml:space="preserve"> tulisi muuttaa muotoon 1920-1980 megahertsiä ja 2110-2170 megahertsiä. </w:t>
      </w:r>
    </w:p>
    <w:p w:rsidR="001B257B" w:rsidRDefault="001B257B" w:rsidP="00FE596D">
      <w:pPr>
        <w:ind w:left="1304"/>
        <w:rPr>
          <w:rFonts w:ascii="Arial" w:hAnsi="Arial" w:cs="Arial"/>
          <w:sz w:val="22"/>
          <w:szCs w:val="22"/>
        </w:rPr>
      </w:pPr>
    </w:p>
    <w:p w:rsidR="00276434" w:rsidRDefault="00FE596D" w:rsidP="00FE596D">
      <w:pPr>
        <w:ind w:left="1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Lisäksi p</w:t>
      </w:r>
      <w:r w:rsidR="00276434">
        <w:rPr>
          <w:rFonts w:ascii="Arial" w:hAnsi="Arial" w:cs="Arial"/>
          <w:sz w:val="22"/>
          <w:szCs w:val="22"/>
        </w:rPr>
        <w:t>ykälän 3 momentissa säädetään, että t</w:t>
      </w:r>
      <w:r w:rsidR="00276434" w:rsidRPr="00276434">
        <w:rPr>
          <w:rFonts w:ascii="Arial" w:hAnsi="Arial" w:cs="Arial"/>
          <w:sz w:val="22"/>
          <w:szCs w:val="22"/>
        </w:rPr>
        <w:t xml:space="preserve">eleyritys, jolla on oikeus GSM-matkaviestintoiminnan harjoittamiseen taajuuksilla 880–915 megahertsiä ja 925–960 megahertsiä sekä 1 710–1 785 megahertsiä ja 1 805–1 880 megahertsiä tai UMTS-matkaviestintoiminnan harjoittamiseen taajuuksilla 1 920–1 980 megahertsiä ja 2 110–2 170 megahertsiä, </w:t>
      </w:r>
      <w:r>
        <w:rPr>
          <w:rFonts w:ascii="Arial" w:hAnsi="Arial" w:cs="Arial"/>
          <w:sz w:val="22"/>
          <w:szCs w:val="22"/>
        </w:rPr>
        <w:t xml:space="preserve">voi </w:t>
      </w:r>
      <w:r w:rsidR="00276434" w:rsidRPr="00276434">
        <w:rPr>
          <w:rFonts w:ascii="Arial" w:hAnsi="Arial" w:cs="Arial"/>
          <w:sz w:val="22"/>
          <w:szCs w:val="22"/>
        </w:rPr>
        <w:t xml:space="preserve">käyttää näitä taajuuksia samassa laajuudessa myös matkaviestintoiminnan harjoittamiseen UMTS-, LTE- ja </w:t>
      </w:r>
      <w:proofErr w:type="spellStart"/>
      <w:r w:rsidR="00276434" w:rsidRPr="00276434">
        <w:rPr>
          <w:rFonts w:ascii="Arial" w:hAnsi="Arial" w:cs="Arial"/>
          <w:sz w:val="22"/>
          <w:szCs w:val="22"/>
        </w:rPr>
        <w:t>Wimax</w:t>
      </w:r>
      <w:proofErr w:type="spellEnd"/>
      <w:r w:rsidR="00276434" w:rsidRPr="00276434">
        <w:rPr>
          <w:rFonts w:ascii="Arial" w:hAnsi="Arial" w:cs="Arial"/>
          <w:sz w:val="22"/>
          <w:szCs w:val="22"/>
        </w:rPr>
        <w:t>-tekniikalla.</w:t>
      </w:r>
    </w:p>
    <w:p w:rsidR="00FE596D" w:rsidRDefault="00FE596D" w:rsidP="00FE596D">
      <w:pPr>
        <w:ind w:left="1304"/>
        <w:rPr>
          <w:rFonts w:ascii="Arial" w:hAnsi="Arial" w:cs="Arial"/>
          <w:sz w:val="22"/>
          <w:szCs w:val="22"/>
        </w:rPr>
      </w:pPr>
    </w:p>
    <w:p w:rsidR="00FE596D" w:rsidRDefault="00FE596D" w:rsidP="00FE596D">
      <w:pPr>
        <w:ind w:left="1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Teknologian kehittymisen vuoksi on tarkoituksenmukaista, että näitä taajuuksia voisi käyttää samassa laajuudessa myös matkaviestintoiminnan harjoittamiseen 5G-tekniikalla. Viidennen sukupolven matkaviestinteknologia ollaan ottamassa </w:t>
      </w:r>
      <w:r w:rsidR="00611B98">
        <w:rPr>
          <w:rFonts w:ascii="Arial" w:hAnsi="Arial" w:cs="Arial"/>
          <w:sz w:val="22"/>
          <w:szCs w:val="22"/>
        </w:rPr>
        <w:t xml:space="preserve">Suomessa </w:t>
      </w:r>
      <w:r>
        <w:rPr>
          <w:rFonts w:ascii="Arial" w:hAnsi="Arial" w:cs="Arial"/>
          <w:sz w:val="22"/>
          <w:szCs w:val="22"/>
        </w:rPr>
        <w:t>käyttöön</w:t>
      </w:r>
      <w:r w:rsidR="00611B98">
        <w:rPr>
          <w:rFonts w:ascii="Arial" w:hAnsi="Arial" w:cs="Arial"/>
          <w:sz w:val="22"/>
          <w:szCs w:val="22"/>
        </w:rPr>
        <w:t xml:space="preserve"> 3,5 gigahertsin taajuusalueella</w:t>
      </w:r>
      <w:r>
        <w:rPr>
          <w:rFonts w:ascii="Arial" w:hAnsi="Arial" w:cs="Arial"/>
          <w:sz w:val="22"/>
          <w:szCs w:val="22"/>
        </w:rPr>
        <w:t xml:space="preserve"> vuoden 2019 alusta. 900 megahertsin, 1800 megahertsin ja 2100 megahertsin taajuusalueita voidaan hyödyntää maantieteellisesti kattavan 5G-peiton rakentamiseen. Taajuusalueilla ei kuitenkaan ole mahdollista saavuttaa korkeampien taajuusalueiden mahdollistamia 5G-huippunopeuksia. </w:t>
      </w:r>
    </w:p>
    <w:p w:rsidR="00FE596D" w:rsidRDefault="00FE596D" w:rsidP="00FE596D">
      <w:pPr>
        <w:ind w:left="1304"/>
        <w:rPr>
          <w:rFonts w:ascii="Arial" w:hAnsi="Arial" w:cs="Arial"/>
          <w:sz w:val="22"/>
          <w:szCs w:val="22"/>
        </w:rPr>
      </w:pPr>
    </w:p>
    <w:p w:rsidR="00FE596D" w:rsidRPr="00276434" w:rsidRDefault="00FE596D" w:rsidP="00FE596D">
      <w:pPr>
        <w:ind w:left="1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Samalla ase</w:t>
      </w:r>
      <w:r w:rsidR="00EE24B6">
        <w:rPr>
          <w:rFonts w:ascii="Arial" w:hAnsi="Arial" w:cs="Arial"/>
          <w:sz w:val="22"/>
          <w:szCs w:val="22"/>
        </w:rPr>
        <w:t>tusta ajantasaistettaisiin poistamalla</w:t>
      </w:r>
      <w:r>
        <w:rPr>
          <w:rFonts w:ascii="Arial" w:hAnsi="Arial" w:cs="Arial"/>
          <w:sz w:val="22"/>
          <w:szCs w:val="22"/>
        </w:rPr>
        <w:t xml:space="preserve"> mahdollisuus käyttää taajuusalueita matkaviestintoiminnan harjoittamiseen </w:t>
      </w:r>
      <w:proofErr w:type="spellStart"/>
      <w:r>
        <w:rPr>
          <w:rFonts w:ascii="Arial" w:hAnsi="Arial" w:cs="Arial"/>
          <w:sz w:val="22"/>
          <w:szCs w:val="22"/>
        </w:rPr>
        <w:t>Wimax</w:t>
      </w:r>
      <w:proofErr w:type="spellEnd"/>
      <w:r>
        <w:rPr>
          <w:rFonts w:ascii="Arial" w:hAnsi="Arial" w:cs="Arial"/>
          <w:sz w:val="22"/>
          <w:szCs w:val="22"/>
        </w:rPr>
        <w:t xml:space="preserve">-tekniikalla. </w:t>
      </w:r>
      <w:proofErr w:type="spellStart"/>
      <w:r w:rsidR="00EE24B6">
        <w:rPr>
          <w:rFonts w:ascii="Arial" w:hAnsi="Arial" w:cs="Arial"/>
          <w:sz w:val="22"/>
          <w:szCs w:val="22"/>
        </w:rPr>
        <w:t>Wimax</w:t>
      </w:r>
      <w:proofErr w:type="spellEnd"/>
      <w:r w:rsidR="00EE24B6">
        <w:rPr>
          <w:rFonts w:ascii="Arial" w:hAnsi="Arial" w:cs="Arial"/>
          <w:sz w:val="22"/>
          <w:szCs w:val="22"/>
        </w:rPr>
        <w:t xml:space="preserve">-tekniikkaa ei Suomessa käytetä matkaviestintoiminnan harjoittamisessa. </w:t>
      </w:r>
    </w:p>
    <w:p w:rsidR="0022091E" w:rsidRDefault="0022091E" w:rsidP="0022091E">
      <w:pPr>
        <w:ind w:left="1304"/>
        <w:rPr>
          <w:rFonts w:ascii="Arial" w:hAnsi="Arial" w:cs="Arial"/>
          <w:b/>
          <w:sz w:val="22"/>
          <w:szCs w:val="22"/>
        </w:rPr>
      </w:pPr>
    </w:p>
    <w:p w:rsidR="0022091E" w:rsidRDefault="0022091E" w:rsidP="0022091E">
      <w:pPr>
        <w:ind w:left="130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Liite</w:t>
      </w:r>
    </w:p>
    <w:p w:rsidR="0022091E" w:rsidRDefault="0022091E" w:rsidP="0022091E">
      <w:pPr>
        <w:ind w:left="1304"/>
        <w:rPr>
          <w:rFonts w:ascii="Arial" w:hAnsi="Arial" w:cs="Arial"/>
          <w:b/>
          <w:sz w:val="22"/>
          <w:szCs w:val="22"/>
        </w:rPr>
      </w:pPr>
    </w:p>
    <w:p w:rsidR="003F44F2" w:rsidRDefault="0022091E" w:rsidP="006562ED">
      <w:pPr>
        <w:pStyle w:val="Leipteksti"/>
        <w:ind w:left="1304"/>
        <w:rPr>
          <w:rFonts w:ascii="Arial" w:hAnsi="Arial" w:cs="Arial"/>
          <w:szCs w:val="22"/>
        </w:rPr>
      </w:pPr>
      <w:r w:rsidRPr="0022091E">
        <w:rPr>
          <w:rFonts w:ascii="Arial" w:hAnsi="Arial" w:cs="Arial"/>
          <w:szCs w:val="22"/>
        </w:rPr>
        <w:t>Asetuksen liitteessä säädetään toimiluvanvaraiseen teletoimintaan varattujen taajuusalueiden käyttörajoituksista.</w:t>
      </w:r>
      <w:r w:rsidR="006562ED">
        <w:rPr>
          <w:rFonts w:ascii="Arial" w:hAnsi="Arial" w:cs="Arial"/>
          <w:szCs w:val="22"/>
        </w:rPr>
        <w:t xml:space="preserve"> </w:t>
      </w:r>
      <w:r w:rsidR="003F44F2">
        <w:rPr>
          <w:rFonts w:ascii="Arial" w:hAnsi="Arial" w:cs="Arial"/>
          <w:szCs w:val="22"/>
        </w:rPr>
        <w:t>Asetuksessa on asetettu käyttörajoitteita 1800 megahertsin taajuusalueelle, 2100 megahertsin taajuusalueelle, 2100 megahertsin taajuusalueelle, 2600 megahertsin taajuusalueelle ja 3,5 gigahertsin taajuusalueelle.</w:t>
      </w:r>
    </w:p>
    <w:p w:rsidR="003F44F2" w:rsidRDefault="003F44F2" w:rsidP="006562ED">
      <w:pPr>
        <w:pStyle w:val="Leipteksti"/>
        <w:ind w:left="1304"/>
        <w:rPr>
          <w:rFonts w:ascii="Arial" w:hAnsi="Arial" w:cs="Arial"/>
          <w:szCs w:val="22"/>
        </w:rPr>
      </w:pPr>
    </w:p>
    <w:p w:rsidR="006562ED" w:rsidRPr="003D4EB9" w:rsidRDefault="006562ED" w:rsidP="006562ED">
      <w:pPr>
        <w:pStyle w:val="Leipteksti"/>
        <w:ind w:left="130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Pr="003D4EB9">
        <w:rPr>
          <w:rFonts w:ascii="Arial" w:hAnsi="Arial" w:cs="Arial"/>
          <w:szCs w:val="22"/>
        </w:rPr>
        <w:t>aajuusalueelle 3410-3800 MHz</w:t>
      </w:r>
      <w:r>
        <w:rPr>
          <w:rFonts w:ascii="Arial" w:hAnsi="Arial" w:cs="Arial"/>
          <w:szCs w:val="22"/>
        </w:rPr>
        <w:t xml:space="preserve"> on tällä hetkellä säädetty</w:t>
      </w:r>
      <w:r w:rsidRPr="003D4EB9">
        <w:rPr>
          <w:rFonts w:ascii="Arial" w:hAnsi="Arial" w:cs="Arial"/>
          <w:szCs w:val="22"/>
        </w:rPr>
        <w:t xml:space="preserve"> seuraavat rajoitteet:</w:t>
      </w:r>
    </w:p>
    <w:p w:rsidR="006562ED" w:rsidRPr="003D4EB9" w:rsidRDefault="006562ED" w:rsidP="006562ED">
      <w:pPr>
        <w:pStyle w:val="Leipteksti"/>
        <w:rPr>
          <w:rFonts w:ascii="Arial" w:hAnsi="Arial" w:cs="Arial"/>
          <w:szCs w:val="22"/>
        </w:rPr>
      </w:pPr>
    </w:p>
    <w:p w:rsidR="006562ED" w:rsidRPr="003D4EB9" w:rsidRDefault="006562ED" w:rsidP="006562ED">
      <w:pPr>
        <w:pStyle w:val="Leipteksti"/>
        <w:ind w:left="0" w:firstLine="1304"/>
        <w:rPr>
          <w:rFonts w:ascii="Arial" w:hAnsi="Arial" w:cs="Arial"/>
          <w:szCs w:val="22"/>
        </w:rPr>
      </w:pPr>
      <w:r w:rsidRPr="003D4EB9">
        <w:rPr>
          <w:rFonts w:ascii="Arial" w:hAnsi="Arial" w:cs="Arial"/>
          <w:szCs w:val="22"/>
        </w:rPr>
        <w:t>Alue A: taajuudet 3700-3770 MHz</w:t>
      </w:r>
    </w:p>
    <w:p w:rsidR="006562ED" w:rsidRPr="003D4EB9" w:rsidRDefault="006562ED" w:rsidP="006562ED">
      <w:pPr>
        <w:pStyle w:val="Leipteksti"/>
        <w:rPr>
          <w:rFonts w:ascii="Arial" w:hAnsi="Arial" w:cs="Arial"/>
          <w:szCs w:val="22"/>
        </w:rPr>
      </w:pPr>
    </w:p>
    <w:p w:rsidR="006562ED" w:rsidRPr="003D4EB9" w:rsidRDefault="006562ED" w:rsidP="006562ED">
      <w:pPr>
        <w:pStyle w:val="Leipteksti"/>
        <w:ind w:left="720" w:firstLine="584"/>
        <w:rPr>
          <w:rFonts w:ascii="Arial" w:hAnsi="Arial" w:cs="Arial"/>
          <w:szCs w:val="22"/>
        </w:rPr>
      </w:pPr>
      <w:r w:rsidRPr="003D4EB9">
        <w:rPr>
          <w:rFonts w:ascii="Arial" w:hAnsi="Arial" w:cs="Arial"/>
          <w:szCs w:val="22"/>
        </w:rPr>
        <w:t>Alueet B ja C: taajuudet 3570 - 3640 MHz</w:t>
      </w:r>
    </w:p>
    <w:p w:rsidR="006562ED" w:rsidRPr="003D4EB9" w:rsidRDefault="006562ED" w:rsidP="006562ED">
      <w:pPr>
        <w:pStyle w:val="Leipteksti"/>
        <w:rPr>
          <w:rFonts w:ascii="Arial" w:hAnsi="Arial" w:cs="Arial"/>
          <w:szCs w:val="22"/>
        </w:rPr>
      </w:pPr>
    </w:p>
    <w:p w:rsidR="006562ED" w:rsidRDefault="006562ED" w:rsidP="006562ED">
      <w:pPr>
        <w:pStyle w:val="Leipteksti"/>
        <w:ind w:left="0" w:firstLine="1304"/>
        <w:rPr>
          <w:rFonts w:ascii="Arial" w:hAnsi="Arial" w:cs="Arial"/>
          <w:szCs w:val="22"/>
        </w:rPr>
      </w:pPr>
      <w:r w:rsidRPr="003D4EB9">
        <w:rPr>
          <w:rFonts w:ascii="Arial" w:hAnsi="Arial" w:cs="Arial"/>
          <w:szCs w:val="22"/>
        </w:rPr>
        <w:t>Alue D: taajuudet 3440 - 3510 MHz.</w:t>
      </w:r>
    </w:p>
    <w:p w:rsidR="003F44F2" w:rsidRDefault="003F44F2" w:rsidP="006562ED">
      <w:pPr>
        <w:pStyle w:val="Leipteksti"/>
        <w:ind w:left="0" w:firstLine="1304"/>
        <w:rPr>
          <w:rFonts w:ascii="Arial" w:hAnsi="Arial" w:cs="Arial"/>
          <w:szCs w:val="22"/>
        </w:rPr>
      </w:pPr>
    </w:p>
    <w:p w:rsidR="006562ED" w:rsidRDefault="006562ED" w:rsidP="006562ED">
      <w:pPr>
        <w:pStyle w:val="Leipteksti"/>
        <w:ind w:left="130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Tutkimus-, tuotekehitys- ja opetuskäyttöön </w:t>
      </w:r>
      <w:r w:rsidR="001F483D">
        <w:rPr>
          <w:rFonts w:ascii="Arial" w:hAnsi="Arial" w:cs="Arial"/>
          <w:szCs w:val="22"/>
        </w:rPr>
        <w:t xml:space="preserve">(TTO) </w:t>
      </w:r>
      <w:r>
        <w:rPr>
          <w:rFonts w:ascii="Arial" w:hAnsi="Arial" w:cs="Arial"/>
          <w:szCs w:val="22"/>
        </w:rPr>
        <w:t xml:space="preserve">varattujen taajuuksien määrää ja maantieteellisiä alueita on kuitenkin syytä muuttaa ennen kuin </w:t>
      </w:r>
      <w:r w:rsidR="003F44F2">
        <w:rPr>
          <w:rFonts w:ascii="Arial" w:hAnsi="Arial" w:cs="Arial"/>
          <w:szCs w:val="22"/>
        </w:rPr>
        <w:t xml:space="preserve">3,5 gigahertsin </w:t>
      </w:r>
      <w:r>
        <w:rPr>
          <w:rFonts w:ascii="Arial" w:hAnsi="Arial" w:cs="Arial"/>
          <w:szCs w:val="22"/>
        </w:rPr>
        <w:t>taajuusaluetta aletaan käyttää sähköisten viestintäpalveluiden tarjontaan</w:t>
      </w:r>
      <w:r w:rsidR="003F44F2">
        <w:rPr>
          <w:rFonts w:ascii="Arial" w:hAnsi="Arial" w:cs="Arial"/>
          <w:szCs w:val="22"/>
        </w:rPr>
        <w:t xml:space="preserve"> sekä 1800 megahertsin taajuusalueelle ja 2100 megahertsin taajuusalueelle myönnetään verkkotoimiluvat uudelle toimilupakaudelle</w:t>
      </w:r>
      <w:r>
        <w:rPr>
          <w:rFonts w:ascii="Arial" w:hAnsi="Arial" w:cs="Arial"/>
          <w:szCs w:val="22"/>
        </w:rPr>
        <w:t xml:space="preserve">. </w:t>
      </w:r>
      <w:r w:rsidR="001F483D">
        <w:rPr>
          <w:rFonts w:ascii="Arial" w:hAnsi="Arial" w:cs="Arial"/>
          <w:szCs w:val="22"/>
        </w:rPr>
        <w:t xml:space="preserve">Taajuuksien määrä ja maantieteellinen alue pyritään määrittelemään siten, että ne mahdollistavat tarkoituksenmukaisen tutkimus- ja testaustoiminnan jatkamisen Suomessa, mutta eivät kuitenkaan rajoita tarpeettomasti kuluttajien ja muiden loppukäyttäjien käytössä olevia palveluita. </w:t>
      </w:r>
    </w:p>
    <w:p w:rsidR="001F483D" w:rsidRDefault="001F483D" w:rsidP="006562ED">
      <w:pPr>
        <w:pStyle w:val="Leipteksti"/>
        <w:ind w:left="1304"/>
        <w:rPr>
          <w:rFonts w:ascii="Arial" w:hAnsi="Arial" w:cs="Arial"/>
          <w:szCs w:val="22"/>
        </w:rPr>
      </w:pPr>
    </w:p>
    <w:p w:rsidR="001B257B" w:rsidRDefault="001F483D" w:rsidP="001B257B">
      <w:pPr>
        <w:pStyle w:val="Leipteksti"/>
        <w:ind w:left="130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Nykyisiä TTO-alueita </w:t>
      </w:r>
      <w:r w:rsidR="00611B98">
        <w:rPr>
          <w:rFonts w:ascii="Arial" w:hAnsi="Arial" w:cs="Arial"/>
          <w:szCs w:val="22"/>
        </w:rPr>
        <w:t xml:space="preserve">esitetään </w:t>
      </w:r>
      <w:r w:rsidR="001B257B">
        <w:rPr>
          <w:rFonts w:ascii="Arial" w:hAnsi="Arial" w:cs="Arial"/>
          <w:szCs w:val="22"/>
        </w:rPr>
        <w:t>pienennettäväksi</w:t>
      </w:r>
      <w:r>
        <w:rPr>
          <w:rFonts w:ascii="Arial" w:hAnsi="Arial" w:cs="Arial"/>
          <w:szCs w:val="22"/>
        </w:rPr>
        <w:t xml:space="preserve"> maantieteellisesti varsin merkittävästi</w:t>
      </w:r>
      <w:r w:rsidR="00442AD3">
        <w:rPr>
          <w:rFonts w:ascii="Arial" w:hAnsi="Arial" w:cs="Arial"/>
          <w:szCs w:val="22"/>
        </w:rPr>
        <w:t xml:space="preserve"> kaikilla TTO-käytössä olevilla taajuusalueilla</w:t>
      </w:r>
      <w:r>
        <w:rPr>
          <w:rFonts w:ascii="Arial" w:hAnsi="Arial" w:cs="Arial"/>
          <w:szCs w:val="22"/>
        </w:rPr>
        <w:t xml:space="preserve">. </w:t>
      </w:r>
      <w:r w:rsidR="003F44F2">
        <w:rPr>
          <w:rFonts w:ascii="Arial" w:hAnsi="Arial" w:cs="Arial"/>
          <w:szCs w:val="22"/>
        </w:rPr>
        <w:t xml:space="preserve">3,5 gigahertsin taajuusalueella mahdollistettaisiin kuitenkin yhtenäisen 100 megahertsin taajuuskaistan käyttö tarkasti rajatuilla maantieteellisillä alueilla. </w:t>
      </w:r>
    </w:p>
    <w:p w:rsidR="003F44F2" w:rsidRDefault="003F44F2" w:rsidP="003F44F2">
      <w:pPr>
        <w:pStyle w:val="Leipteksti"/>
        <w:ind w:left="1304"/>
        <w:rPr>
          <w:rFonts w:ascii="Arial" w:hAnsi="Arial" w:cs="Arial"/>
          <w:szCs w:val="22"/>
        </w:rPr>
      </w:pPr>
    </w:p>
    <w:p w:rsidR="003F44F2" w:rsidRDefault="003F44F2" w:rsidP="003F44F2">
      <w:pPr>
        <w:pStyle w:val="Leipteksti"/>
        <w:ind w:left="1304"/>
        <w:rPr>
          <w:rFonts w:ascii="Arial" w:hAnsi="Arial" w:cs="Arial"/>
        </w:rPr>
      </w:pPr>
      <w:r w:rsidRPr="003F44F2">
        <w:rPr>
          <w:rFonts w:ascii="Arial" w:hAnsi="Arial" w:cs="Arial"/>
        </w:rPr>
        <w:t>Maantieteellisiä rajoitealueita pienennettäisiin kaikkien TTO-taajuusalueiden osalta seuraavasti:</w:t>
      </w:r>
    </w:p>
    <w:p w:rsidR="003F44F2" w:rsidRPr="003F44F2" w:rsidRDefault="003F44F2" w:rsidP="003F44F2">
      <w:pPr>
        <w:pStyle w:val="Leipteksti"/>
        <w:ind w:left="1304"/>
        <w:rPr>
          <w:rFonts w:ascii="Arial" w:hAnsi="Arial" w:cs="Arial"/>
          <w:szCs w:val="22"/>
        </w:rPr>
      </w:pPr>
    </w:p>
    <w:p w:rsidR="003F44F2" w:rsidRDefault="003F44F2" w:rsidP="003F44F2">
      <w:pPr>
        <w:pStyle w:val="Leipteksti"/>
        <w:ind w:left="1134" w:firstLine="170"/>
        <w:rPr>
          <w:rFonts w:ascii="Arial" w:hAnsi="Arial" w:cs="Arial"/>
          <w:u w:val="single"/>
        </w:rPr>
      </w:pPr>
      <w:r w:rsidRPr="003F44F2">
        <w:rPr>
          <w:rFonts w:ascii="Arial" w:hAnsi="Arial" w:cs="Arial"/>
          <w:u w:val="single"/>
        </w:rPr>
        <w:t>TTO-alue A ja A1 (pääkaupunkiseutu)</w:t>
      </w:r>
    </w:p>
    <w:p w:rsidR="003F44F2" w:rsidRPr="003F44F2" w:rsidRDefault="003F44F2" w:rsidP="003F44F2">
      <w:pPr>
        <w:pStyle w:val="Leipteksti"/>
        <w:ind w:left="1134" w:firstLine="170"/>
        <w:rPr>
          <w:rFonts w:ascii="Arial" w:hAnsi="Arial" w:cs="Arial"/>
          <w:u w:val="single"/>
        </w:rPr>
      </w:pPr>
    </w:p>
    <w:p w:rsidR="003F44F2" w:rsidRPr="003F44F2" w:rsidRDefault="003F44F2" w:rsidP="003F44F2">
      <w:pPr>
        <w:pStyle w:val="Leipteksti"/>
        <w:keepNext/>
        <w:ind w:left="1134"/>
        <w:jc w:val="center"/>
        <w:rPr>
          <w:rFonts w:ascii="Arial" w:hAnsi="Arial" w:cs="Arial"/>
        </w:rPr>
      </w:pPr>
      <w:r w:rsidRPr="003F44F2">
        <w:rPr>
          <w:rFonts w:ascii="Arial" w:hAnsi="Arial" w:cs="Arial"/>
          <w:noProof/>
        </w:rPr>
        <w:lastRenderedPageBreak/>
        <w:drawing>
          <wp:inline distT="0" distB="0" distL="0" distR="0">
            <wp:extent cx="3036090" cy="2919792"/>
            <wp:effectExtent l="0" t="0" r="0" b="0"/>
            <wp:docPr id="3" name="Kuva 3" descr="TTO-alue A 3410-3800MHz_re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O-alue A 3410-3800MHz_rev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90" cy="29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F2" w:rsidRDefault="003F44F2" w:rsidP="003F44F2">
      <w:pPr>
        <w:pStyle w:val="Kuvaotsikko"/>
        <w:rPr>
          <w:rFonts w:ascii="Arial" w:hAnsi="Arial" w:cs="Arial"/>
        </w:rPr>
      </w:pPr>
    </w:p>
    <w:p w:rsidR="003F44F2" w:rsidRPr="003F44F2" w:rsidRDefault="003F44F2" w:rsidP="003F44F2">
      <w:pPr>
        <w:pStyle w:val="Kuvaotsikko"/>
        <w:rPr>
          <w:rFonts w:ascii="Arial" w:hAnsi="Arial" w:cs="Arial"/>
        </w:rPr>
      </w:pPr>
      <w:r w:rsidRPr="003F44F2">
        <w:rPr>
          <w:rFonts w:ascii="Arial" w:hAnsi="Arial" w:cs="Arial"/>
        </w:rPr>
        <w:t xml:space="preserve">Kuva </w:t>
      </w:r>
      <w:r w:rsidRPr="003F44F2">
        <w:rPr>
          <w:rFonts w:ascii="Arial" w:hAnsi="Arial" w:cs="Arial"/>
        </w:rPr>
        <w:fldChar w:fldCharType="begin"/>
      </w:r>
      <w:r w:rsidRPr="003F44F2">
        <w:rPr>
          <w:rFonts w:ascii="Arial" w:hAnsi="Arial" w:cs="Arial"/>
        </w:rPr>
        <w:instrText xml:space="preserve"> SEQ Kuva \* ARABIC </w:instrText>
      </w:r>
      <w:r w:rsidRPr="003F44F2">
        <w:rPr>
          <w:rFonts w:ascii="Arial" w:hAnsi="Arial" w:cs="Arial"/>
        </w:rPr>
        <w:fldChar w:fldCharType="separate"/>
      </w:r>
      <w:r w:rsidR="007614CA">
        <w:rPr>
          <w:rFonts w:ascii="Arial" w:hAnsi="Arial" w:cs="Arial"/>
          <w:noProof/>
        </w:rPr>
        <w:t>1</w:t>
      </w:r>
      <w:r w:rsidRPr="003F44F2">
        <w:rPr>
          <w:rFonts w:ascii="Arial" w:hAnsi="Arial" w:cs="Arial"/>
        </w:rPr>
        <w:fldChar w:fldCharType="end"/>
      </w:r>
      <w:r w:rsidRPr="003F44F2">
        <w:rPr>
          <w:rFonts w:ascii="Arial" w:hAnsi="Arial" w:cs="Arial"/>
        </w:rPr>
        <w:t>. TTO-rajoitteet pääkaupunkiseudulla. Kuvassa sinisellä näkyvä alue on</w:t>
      </w:r>
      <w:r>
        <w:rPr>
          <w:rFonts w:ascii="Arial" w:hAnsi="Arial" w:cs="Arial"/>
        </w:rPr>
        <w:t xml:space="preserve"> tällä hetkellä voimassa olevan</w:t>
      </w:r>
      <w:r w:rsidRPr="003F44F2">
        <w:rPr>
          <w:rFonts w:ascii="Arial" w:hAnsi="Arial" w:cs="Arial"/>
        </w:rPr>
        <w:t xml:space="preserve"> asetuksen mukainen TTO-rajoitealue</w:t>
      </w:r>
      <w:r w:rsidR="001B257B">
        <w:rPr>
          <w:rFonts w:ascii="Arial" w:hAnsi="Arial" w:cs="Arial"/>
        </w:rPr>
        <w:t xml:space="preserve"> (kattaa noin 260 000 asukasta)</w:t>
      </w:r>
      <w:r w:rsidRPr="003F44F2">
        <w:rPr>
          <w:rFonts w:ascii="Arial" w:hAnsi="Arial" w:cs="Arial"/>
        </w:rPr>
        <w:t>. Punaisella merkittynä on ehdotus uudeksi TTO-alueeksi A</w:t>
      </w:r>
      <w:r w:rsidR="001B257B">
        <w:rPr>
          <w:rFonts w:ascii="Arial" w:hAnsi="Arial" w:cs="Arial"/>
        </w:rPr>
        <w:t xml:space="preserve"> (kattaa noin 155 000 asukasta)</w:t>
      </w:r>
      <w:r w:rsidRPr="003F44F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Vihreällä merkittynä on</w:t>
      </w:r>
      <w:r w:rsidRPr="003F44F2">
        <w:rPr>
          <w:rFonts w:ascii="Arial" w:hAnsi="Arial" w:cs="Arial"/>
        </w:rPr>
        <w:t xml:space="preserve"> pienempi</w:t>
      </w:r>
      <w:r>
        <w:rPr>
          <w:rFonts w:ascii="Arial" w:hAnsi="Arial" w:cs="Arial"/>
        </w:rPr>
        <w:t xml:space="preserve"> uusi</w:t>
      </w:r>
      <w:r w:rsidRPr="003F44F2">
        <w:rPr>
          <w:rFonts w:ascii="Arial" w:hAnsi="Arial" w:cs="Arial"/>
        </w:rPr>
        <w:t xml:space="preserve"> rajoitusalue, jolle ehdotetaan yhtenäisen 100 MHz taajuuskaistan mahdollistamista, alue A1</w:t>
      </w:r>
      <w:r w:rsidR="001B257B">
        <w:rPr>
          <w:rFonts w:ascii="Arial" w:hAnsi="Arial" w:cs="Arial"/>
        </w:rPr>
        <w:t xml:space="preserve"> (kattaa noin 12 000 asukasta)</w:t>
      </w:r>
      <w:r w:rsidRPr="003F44F2">
        <w:rPr>
          <w:rFonts w:ascii="Arial" w:hAnsi="Arial" w:cs="Arial"/>
        </w:rPr>
        <w:t>.</w:t>
      </w:r>
    </w:p>
    <w:p w:rsidR="003F44F2" w:rsidRDefault="003F44F2" w:rsidP="004832F3">
      <w:pPr>
        <w:rPr>
          <w:rFonts w:ascii="Arial" w:hAnsi="Arial" w:cs="Arial"/>
          <w:sz w:val="22"/>
          <w:szCs w:val="22"/>
          <w:u w:val="single"/>
        </w:rPr>
      </w:pPr>
    </w:p>
    <w:p w:rsidR="003F44F2" w:rsidRPr="003F44F2" w:rsidRDefault="003F44F2" w:rsidP="003F44F2">
      <w:pPr>
        <w:ind w:left="1134"/>
        <w:rPr>
          <w:rFonts w:ascii="Arial" w:hAnsi="Arial" w:cs="Arial"/>
          <w:sz w:val="22"/>
          <w:szCs w:val="22"/>
          <w:u w:val="single"/>
        </w:rPr>
      </w:pPr>
      <w:r w:rsidRPr="003F44F2">
        <w:rPr>
          <w:rFonts w:ascii="Arial" w:hAnsi="Arial" w:cs="Arial"/>
          <w:sz w:val="22"/>
          <w:szCs w:val="22"/>
          <w:u w:val="single"/>
        </w:rPr>
        <w:t>TTO-alueet B (Tampere, Hervanta) ja C (Tampere, Hatanpää)</w:t>
      </w:r>
    </w:p>
    <w:p w:rsidR="003F44F2" w:rsidRPr="003F44F2" w:rsidRDefault="003F44F2" w:rsidP="003F44F2">
      <w:pPr>
        <w:tabs>
          <w:tab w:val="left" w:pos="2011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F44F2" w:rsidRDefault="003F44F2" w:rsidP="003F44F2">
      <w:pPr>
        <w:keepNext/>
        <w:ind w:left="1134"/>
        <w:jc w:val="center"/>
        <w:rPr>
          <w:rFonts w:ascii="Arial" w:hAnsi="Arial" w:cs="Arial"/>
        </w:rPr>
      </w:pPr>
      <w:r w:rsidRPr="003F44F2">
        <w:rPr>
          <w:rFonts w:ascii="Arial" w:hAnsi="Arial" w:cs="Arial"/>
          <w:noProof/>
          <w:lang w:eastAsia="fi-FI"/>
        </w:rPr>
        <w:drawing>
          <wp:inline distT="0" distB="0" distL="0" distR="0">
            <wp:extent cx="2978609" cy="2907102"/>
            <wp:effectExtent l="0" t="0" r="0" b="7620"/>
            <wp:docPr id="2" name="Kuva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45" cy="29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F2" w:rsidRPr="003F44F2" w:rsidRDefault="003F44F2" w:rsidP="003F44F2">
      <w:pPr>
        <w:keepNext/>
        <w:ind w:left="1134"/>
        <w:jc w:val="center"/>
        <w:rPr>
          <w:rFonts w:ascii="Arial" w:hAnsi="Arial" w:cs="Arial"/>
        </w:rPr>
      </w:pPr>
    </w:p>
    <w:p w:rsidR="003F44F2" w:rsidRPr="003F44F2" w:rsidRDefault="003F44F2" w:rsidP="003F44F2">
      <w:pPr>
        <w:pStyle w:val="Kuvaotsikko"/>
        <w:rPr>
          <w:rFonts w:ascii="Arial" w:hAnsi="Arial" w:cs="Arial"/>
        </w:rPr>
      </w:pPr>
      <w:r w:rsidRPr="003F44F2">
        <w:rPr>
          <w:rFonts w:ascii="Arial" w:hAnsi="Arial" w:cs="Arial"/>
        </w:rPr>
        <w:t xml:space="preserve">Kuva </w:t>
      </w:r>
      <w:r w:rsidRPr="003F44F2">
        <w:rPr>
          <w:rFonts w:ascii="Arial" w:hAnsi="Arial" w:cs="Arial"/>
        </w:rPr>
        <w:fldChar w:fldCharType="begin"/>
      </w:r>
      <w:r w:rsidRPr="003F44F2">
        <w:rPr>
          <w:rFonts w:ascii="Arial" w:hAnsi="Arial" w:cs="Arial"/>
        </w:rPr>
        <w:instrText xml:space="preserve"> SEQ Kuva \* ARABIC </w:instrText>
      </w:r>
      <w:r w:rsidRPr="003F44F2">
        <w:rPr>
          <w:rFonts w:ascii="Arial" w:hAnsi="Arial" w:cs="Arial"/>
        </w:rPr>
        <w:fldChar w:fldCharType="separate"/>
      </w:r>
      <w:r w:rsidR="007614CA">
        <w:rPr>
          <w:rFonts w:ascii="Arial" w:hAnsi="Arial" w:cs="Arial"/>
          <w:noProof/>
        </w:rPr>
        <w:t>2</w:t>
      </w:r>
      <w:r w:rsidRPr="003F44F2">
        <w:rPr>
          <w:rFonts w:ascii="Arial" w:hAnsi="Arial" w:cs="Arial"/>
          <w:noProof/>
        </w:rPr>
        <w:fldChar w:fldCharType="end"/>
      </w:r>
      <w:r w:rsidRPr="003F44F2">
        <w:rPr>
          <w:rFonts w:ascii="Arial" w:hAnsi="Arial" w:cs="Arial"/>
        </w:rPr>
        <w:t>. TTO-rajoitteet Tampereella. Kuvassa sinisellä näkyvä alueet ovat tällä hetkellä voimassa olevan asetuksen mukaiset TTO-rajoitealueet</w:t>
      </w:r>
      <w:r w:rsidR="001B257B">
        <w:rPr>
          <w:rFonts w:ascii="Arial" w:hAnsi="Arial" w:cs="Arial"/>
        </w:rPr>
        <w:t xml:space="preserve"> (kattavat yhteensä noin 120 000 asukasta)</w:t>
      </w:r>
      <w:r w:rsidRPr="003F44F2">
        <w:rPr>
          <w:rFonts w:ascii="Arial" w:hAnsi="Arial" w:cs="Arial"/>
        </w:rPr>
        <w:t xml:space="preserve">. Punaisella näkyvät alueet ovat ehdotukset uusiksi TTO-rajoitealueiksi B </w:t>
      </w:r>
      <w:r w:rsidR="001B257B">
        <w:rPr>
          <w:rFonts w:ascii="Arial" w:hAnsi="Arial" w:cs="Arial"/>
        </w:rPr>
        <w:t xml:space="preserve">(kattaa noin 100 asukasta) </w:t>
      </w:r>
      <w:r w:rsidRPr="003F44F2">
        <w:rPr>
          <w:rFonts w:ascii="Arial" w:hAnsi="Arial" w:cs="Arial"/>
        </w:rPr>
        <w:t>ja C</w:t>
      </w:r>
      <w:r w:rsidR="001B257B">
        <w:rPr>
          <w:rFonts w:ascii="Arial" w:hAnsi="Arial" w:cs="Arial"/>
        </w:rPr>
        <w:t xml:space="preserve"> (kattaa noin 31 000 asukasta)</w:t>
      </w:r>
      <w:r w:rsidRPr="003F44F2">
        <w:rPr>
          <w:rFonts w:ascii="Arial" w:hAnsi="Arial" w:cs="Arial"/>
        </w:rPr>
        <w:t>.</w:t>
      </w:r>
    </w:p>
    <w:p w:rsidR="003F44F2" w:rsidRPr="003F44F2" w:rsidRDefault="003F44F2" w:rsidP="003F44F2">
      <w:pPr>
        <w:ind w:left="1134"/>
        <w:rPr>
          <w:rFonts w:ascii="Arial" w:hAnsi="Arial" w:cs="Arial"/>
          <w:u w:val="single"/>
        </w:rPr>
      </w:pPr>
      <w:r w:rsidRPr="003F44F2">
        <w:rPr>
          <w:rFonts w:ascii="Arial" w:hAnsi="Arial" w:cs="Arial"/>
          <w:u w:val="single"/>
        </w:rPr>
        <w:t>TTO-alue D ja D1 (Oulu)</w:t>
      </w:r>
    </w:p>
    <w:p w:rsidR="003F44F2" w:rsidRPr="003F44F2" w:rsidRDefault="003F44F2" w:rsidP="003F44F2">
      <w:pPr>
        <w:ind w:left="1134"/>
        <w:rPr>
          <w:rFonts w:ascii="Arial" w:hAnsi="Arial" w:cs="Arial"/>
          <w:u w:val="single"/>
        </w:rPr>
      </w:pPr>
    </w:p>
    <w:p w:rsidR="003F44F2" w:rsidRDefault="003F44F2" w:rsidP="003F44F2">
      <w:pPr>
        <w:keepNext/>
        <w:ind w:left="1134"/>
        <w:jc w:val="center"/>
        <w:rPr>
          <w:rFonts w:ascii="Arial" w:hAnsi="Arial" w:cs="Arial"/>
        </w:rPr>
      </w:pPr>
      <w:r w:rsidRPr="003F44F2">
        <w:rPr>
          <w:rFonts w:ascii="Arial" w:hAnsi="Arial" w:cs="Arial"/>
          <w:noProof/>
          <w:lang w:eastAsia="fi-FI"/>
        </w:rPr>
        <w:lastRenderedPageBreak/>
        <w:drawing>
          <wp:inline distT="0" distB="0" distL="0" distR="0">
            <wp:extent cx="3597275" cy="3174365"/>
            <wp:effectExtent l="0" t="0" r="3175" b="6985"/>
            <wp:docPr id="1" name="Kuva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6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F2" w:rsidRPr="003F44F2" w:rsidRDefault="003F44F2" w:rsidP="003F44F2">
      <w:pPr>
        <w:keepNext/>
        <w:ind w:left="1134"/>
        <w:jc w:val="center"/>
        <w:rPr>
          <w:rFonts w:ascii="Arial" w:hAnsi="Arial" w:cs="Arial"/>
        </w:rPr>
      </w:pPr>
    </w:p>
    <w:p w:rsidR="003F44F2" w:rsidRPr="003F44F2" w:rsidRDefault="003F44F2" w:rsidP="003F44F2">
      <w:pPr>
        <w:pStyle w:val="Kuvaotsikko"/>
        <w:rPr>
          <w:rFonts w:ascii="Arial" w:hAnsi="Arial" w:cs="Arial"/>
        </w:rPr>
      </w:pPr>
      <w:r w:rsidRPr="003F44F2">
        <w:rPr>
          <w:rFonts w:ascii="Arial" w:hAnsi="Arial" w:cs="Arial"/>
        </w:rPr>
        <w:t xml:space="preserve">Kuva </w:t>
      </w:r>
      <w:r w:rsidRPr="003F44F2">
        <w:rPr>
          <w:rFonts w:ascii="Arial" w:hAnsi="Arial" w:cs="Arial"/>
        </w:rPr>
        <w:fldChar w:fldCharType="begin"/>
      </w:r>
      <w:r w:rsidRPr="003F44F2">
        <w:rPr>
          <w:rFonts w:ascii="Arial" w:hAnsi="Arial" w:cs="Arial"/>
        </w:rPr>
        <w:instrText xml:space="preserve"> SEQ Kuva \* ARABIC </w:instrText>
      </w:r>
      <w:r w:rsidRPr="003F44F2">
        <w:rPr>
          <w:rFonts w:ascii="Arial" w:hAnsi="Arial" w:cs="Arial"/>
        </w:rPr>
        <w:fldChar w:fldCharType="separate"/>
      </w:r>
      <w:r w:rsidR="007614CA">
        <w:rPr>
          <w:rFonts w:ascii="Arial" w:hAnsi="Arial" w:cs="Arial"/>
          <w:noProof/>
        </w:rPr>
        <w:t>3</w:t>
      </w:r>
      <w:r w:rsidRPr="003F44F2">
        <w:rPr>
          <w:rFonts w:ascii="Arial" w:hAnsi="Arial" w:cs="Arial"/>
          <w:noProof/>
        </w:rPr>
        <w:fldChar w:fldCharType="end"/>
      </w:r>
      <w:r w:rsidRPr="003F44F2">
        <w:rPr>
          <w:rFonts w:ascii="Arial" w:hAnsi="Arial" w:cs="Arial"/>
        </w:rPr>
        <w:t>. TTO-rajoitteet Oulussa. Kuvassa sinisellä näkyvä alue on tällä hetkellä voimassa olevan asetuksen mukainen TTO-rajoitealue</w:t>
      </w:r>
      <w:r w:rsidR="001B257B">
        <w:rPr>
          <w:rFonts w:ascii="Arial" w:hAnsi="Arial" w:cs="Arial"/>
        </w:rPr>
        <w:t xml:space="preserve"> (kattaa noin 90 000 asukasta)</w:t>
      </w:r>
      <w:r w:rsidRPr="003F44F2">
        <w:rPr>
          <w:rFonts w:ascii="Arial" w:hAnsi="Arial" w:cs="Arial"/>
        </w:rPr>
        <w:t>. Punaisella näkyvä alue on ehdotus uudeksi TTO-alueeksi D</w:t>
      </w:r>
      <w:r w:rsidR="001B257B">
        <w:rPr>
          <w:rFonts w:ascii="Arial" w:hAnsi="Arial" w:cs="Arial"/>
        </w:rPr>
        <w:t xml:space="preserve"> (kattaa noin 34 000 asukasta)</w:t>
      </w:r>
      <w:r w:rsidRPr="003F44F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Vihreällä merkittynä on</w:t>
      </w:r>
      <w:r w:rsidRPr="003F44F2">
        <w:rPr>
          <w:rFonts w:ascii="Arial" w:hAnsi="Arial" w:cs="Arial"/>
        </w:rPr>
        <w:t xml:space="preserve"> pienempi</w:t>
      </w:r>
      <w:r>
        <w:rPr>
          <w:rFonts w:ascii="Arial" w:hAnsi="Arial" w:cs="Arial"/>
        </w:rPr>
        <w:t xml:space="preserve"> uusi</w:t>
      </w:r>
      <w:r w:rsidRPr="003F44F2">
        <w:rPr>
          <w:rFonts w:ascii="Arial" w:hAnsi="Arial" w:cs="Arial"/>
        </w:rPr>
        <w:t xml:space="preserve"> rajoitusalue, jolle ehdotetaan yhtenäisen 100 MHz taajuuskaistan mahdollistamista, alue D1</w:t>
      </w:r>
      <w:r w:rsidR="001B257B">
        <w:rPr>
          <w:rFonts w:ascii="Arial" w:hAnsi="Arial" w:cs="Arial"/>
        </w:rPr>
        <w:t xml:space="preserve"> (kattaa noin 5400 asukasta)</w:t>
      </w:r>
      <w:r w:rsidRPr="003F44F2">
        <w:rPr>
          <w:rFonts w:ascii="Arial" w:hAnsi="Arial" w:cs="Arial"/>
        </w:rPr>
        <w:t>.</w:t>
      </w:r>
    </w:p>
    <w:p w:rsidR="003F44F2" w:rsidRPr="003F44F2" w:rsidRDefault="003F44F2" w:rsidP="006562ED">
      <w:pPr>
        <w:pStyle w:val="Leipteksti"/>
        <w:ind w:left="1304"/>
        <w:rPr>
          <w:rFonts w:ascii="Arial" w:hAnsi="Arial" w:cs="Arial"/>
          <w:szCs w:val="22"/>
        </w:rPr>
      </w:pPr>
    </w:p>
    <w:p w:rsidR="006562ED" w:rsidRDefault="00442AD3" w:rsidP="00442AD3">
      <w:pPr>
        <w:pStyle w:val="Leipteksti"/>
        <w:ind w:left="1304"/>
        <w:rPr>
          <w:rFonts w:ascii="Arial" w:hAnsi="Arial" w:cs="Arial"/>
          <w:szCs w:val="22"/>
        </w:rPr>
      </w:pPr>
      <w:r w:rsidRPr="00442AD3">
        <w:rPr>
          <w:rFonts w:ascii="Arial" w:hAnsi="Arial" w:cs="Arial"/>
          <w:szCs w:val="22"/>
        </w:rPr>
        <w:t xml:space="preserve">Taajuusalueilla 1800 </w:t>
      </w:r>
      <w:r>
        <w:rPr>
          <w:rFonts w:ascii="Arial" w:hAnsi="Arial" w:cs="Arial"/>
          <w:szCs w:val="22"/>
        </w:rPr>
        <w:t>megahertsiä</w:t>
      </w:r>
      <w:r w:rsidRPr="00442AD3">
        <w:rPr>
          <w:rFonts w:ascii="Arial" w:hAnsi="Arial" w:cs="Arial"/>
          <w:szCs w:val="22"/>
        </w:rPr>
        <w:t>, 2100</w:t>
      </w:r>
      <w:r>
        <w:rPr>
          <w:rFonts w:ascii="Arial" w:hAnsi="Arial" w:cs="Arial"/>
          <w:szCs w:val="22"/>
        </w:rPr>
        <w:t xml:space="preserve"> megahertsiä</w:t>
      </w:r>
      <w:r w:rsidRPr="00442AD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ja 2600 megahertsiä</w:t>
      </w:r>
      <w:r w:rsidRPr="00442AD3">
        <w:rPr>
          <w:rFonts w:ascii="Arial" w:hAnsi="Arial" w:cs="Arial"/>
          <w:szCs w:val="22"/>
        </w:rPr>
        <w:t xml:space="preserve"> TTO-käytön taajuuksiin ei esitetä muutoksia.</w:t>
      </w:r>
      <w:r>
        <w:rPr>
          <w:rFonts w:ascii="Arial" w:hAnsi="Arial" w:cs="Arial"/>
          <w:szCs w:val="22"/>
        </w:rPr>
        <w:t xml:space="preserve"> 3,5 gigahertsin taajuusalueella sekä taajuuksia että niiden määriä muutettaisiin kuitenkin vastaamaan paremmin sekä tutkimus- ja testaustoimijoiden että teleyritysten kaupallisia intressejä. Naapurimaiden taajuuskäytön aiheuttamien rajoitteiden vuoksi 3600-3800 megahertsin taajuusalueen ulkokäyttö ei toistaiseksi Suomessa ole mahdollista. 3,5 gigahertsin taajuusalueelle ehdotetaan tästä johtuen vaiheistettua TTO-käyttörajoitetta, mikä tulee vastaamaan taajuusalueelle myönnettävien verkkotoimilupien jakoa ensisijaiseen ja toissijaiseen taajuuskäyttöön. </w:t>
      </w:r>
    </w:p>
    <w:p w:rsidR="00442AD3" w:rsidRDefault="00442AD3" w:rsidP="00442AD3">
      <w:pPr>
        <w:pStyle w:val="Leipteksti"/>
        <w:ind w:left="1304"/>
        <w:rPr>
          <w:rFonts w:ascii="Arial" w:hAnsi="Arial" w:cs="Arial"/>
          <w:szCs w:val="22"/>
        </w:rPr>
      </w:pPr>
    </w:p>
    <w:p w:rsidR="00442AD3" w:rsidRPr="00442AD3" w:rsidRDefault="00442AD3" w:rsidP="00442AD3">
      <w:pPr>
        <w:pStyle w:val="Leipteksti"/>
        <w:ind w:left="1304"/>
        <w:rPr>
          <w:rFonts w:ascii="Arial" w:hAnsi="Arial" w:cs="Arial"/>
          <w:szCs w:val="22"/>
          <w:u w:val="single"/>
        </w:rPr>
      </w:pPr>
      <w:r w:rsidRPr="00442AD3">
        <w:rPr>
          <w:rFonts w:ascii="Arial" w:hAnsi="Arial" w:cs="Arial"/>
          <w:szCs w:val="22"/>
          <w:u w:val="single"/>
        </w:rPr>
        <w:t>Toissijainen taajuuskäyttö</w:t>
      </w:r>
    </w:p>
    <w:p w:rsidR="0022091E" w:rsidRDefault="0022091E" w:rsidP="0022091E">
      <w:pPr>
        <w:ind w:left="1304"/>
        <w:rPr>
          <w:rFonts w:ascii="Arial" w:hAnsi="Arial" w:cs="Arial"/>
          <w:sz w:val="22"/>
          <w:szCs w:val="22"/>
        </w:rPr>
      </w:pPr>
    </w:p>
    <w:p w:rsidR="00442AD3" w:rsidRDefault="00442AD3" w:rsidP="0022091E">
      <w:pPr>
        <w:ind w:left="1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Tilanteessa, jossa toimiluvanhaltijat joutuvat käyttämään 3,5 gigahertsin taajuusalueen verkkotoimilupien toissijaisia taajuuskaistoja, osoitetaan taajuudet TTO-käyttöön seuraavasti:</w:t>
      </w:r>
    </w:p>
    <w:p w:rsidR="00442AD3" w:rsidRDefault="00442AD3" w:rsidP="0022091E">
      <w:pPr>
        <w:ind w:left="1304"/>
        <w:rPr>
          <w:rFonts w:ascii="Arial" w:hAnsi="Arial" w:cs="Arial"/>
          <w:sz w:val="22"/>
          <w:szCs w:val="22"/>
        </w:rPr>
      </w:pPr>
    </w:p>
    <w:p w:rsidR="00442AD3" w:rsidRDefault="007614CA" w:rsidP="0022091E">
      <w:pPr>
        <w:ind w:left="1304"/>
        <w:rPr>
          <w:rFonts w:ascii="Arial" w:hAnsi="Arial" w:cs="Arial"/>
          <w:sz w:val="22"/>
          <w:szCs w:val="22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782320</wp:posOffset>
            </wp:positionV>
            <wp:extent cx="6120130" cy="1015365"/>
            <wp:effectExtent l="0" t="0" r="0" b="0"/>
            <wp:wrapTight wrapText="bothSides">
              <wp:wrapPolygon edited="0">
                <wp:start x="0" y="0"/>
                <wp:lineTo x="0" y="21073"/>
                <wp:lineTo x="21515" y="21073"/>
                <wp:lineTo x="21515" y="0"/>
                <wp:lineTo x="0" y="0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AD3" w:rsidRPr="001050FD">
        <w:rPr>
          <w:rFonts w:ascii="Arial" w:hAnsi="Arial" w:cs="Arial"/>
          <w:b/>
          <w:sz w:val="22"/>
          <w:szCs w:val="22"/>
        </w:rPr>
        <w:t>TTO-alue A ja A1</w:t>
      </w:r>
      <w:r w:rsidR="00442AD3" w:rsidRPr="00442AD3">
        <w:rPr>
          <w:rFonts w:ascii="Arial" w:hAnsi="Arial" w:cs="Arial"/>
          <w:sz w:val="22"/>
          <w:szCs w:val="22"/>
        </w:rPr>
        <w:t xml:space="preserve">: TTO-käyttöön osoitetaan yhtenäinen 100 MHz:n levyinen taajuuskaista (3610–3710 MHz, </w:t>
      </w:r>
      <w:proofErr w:type="spellStart"/>
      <w:r w:rsidR="00442AD3" w:rsidRPr="00442AD3">
        <w:rPr>
          <w:rFonts w:ascii="Arial" w:hAnsi="Arial" w:cs="Arial"/>
          <w:sz w:val="22"/>
          <w:szCs w:val="22"/>
        </w:rPr>
        <w:t>fc</w:t>
      </w:r>
      <w:proofErr w:type="spellEnd"/>
      <w:r w:rsidR="00442AD3" w:rsidRPr="00442AD3">
        <w:rPr>
          <w:rFonts w:ascii="Arial" w:hAnsi="Arial" w:cs="Arial"/>
          <w:sz w:val="22"/>
          <w:szCs w:val="22"/>
        </w:rPr>
        <w:t xml:space="preserve">=3660 MHz) Karaportin alueelle (A1) ja lisäksi koko TTO-alueelle A osoitetaan 60 MHz:n levyinen taajuuskaista, merkitty katkoviivalla (3630–3690 MHz, </w:t>
      </w:r>
      <w:proofErr w:type="spellStart"/>
      <w:r w:rsidR="00442AD3" w:rsidRPr="00442AD3">
        <w:rPr>
          <w:rFonts w:ascii="Arial" w:hAnsi="Arial" w:cs="Arial"/>
          <w:sz w:val="22"/>
          <w:szCs w:val="22"/>
        </w:rPr>
        <w:t>fc</w:t>
      </w:r>
      <w:proofErr w:type="spellEnd"/>
      <w:r w:rsidR="00442AD3" w:rsidRPr="00442AD3">
        <w:rPr>
          <w:rFonts w:ascii="Arial" w:hAnsi="Arial" w:cs="Arial"/>
          <w:sz w:val="22"/>
          <w:szCs w:val="22"/>
        </w:rPr>
        <w:t>=</w:t>
      </w:r>
      <w:r w:rsidR="001050FD">
        <w:rPr>
          <w:rFonts w:ascii="Arial" w:hAnsi="Arial" w:cs="Arial"/>
          <w:sz w:val="22"/>
          <w:szCs w:val="22"/>
        </w:rPr>
        <w:t>3660 MHz, katkoviivalla) kuvan 4</w:t>
      </w:r>
      <w:r w:rsidR="00442AD3" w:rsidRPr="00442AD3">
        <w:rPr>
          <w:rFonts w:ascii="Arial" w:hAnsi="Arial" w:cs="Arial"/>
          <w:sz w:val="22"/>
          <w:szCs w:val="22"/>
        </w:rPr>
        <w:t xml:space="preserve"> mukaisesti.</w:t>
      </w:r>
    </w:p>
    <w:p w:rsidR="00442AD3" w:rsidRDefault="00442AD3" w:rsidP="0022091E">
      <w:pPr>
        <w:ind w:left="1304"/>
        <w:rPr>
          <w:rFonts w:ascii="Arial" w:hAnsi="Arial" w:cs="Arial"/>
          <w:sz w:val="22"/>
          <w:szCs w:val="22"/>
        </w:rPr>
      </w:pPr>
    </w:p>
    <w:p w:rsidR="00442AD3" w:rsidRDefault="00442AD3" w:rsidP="0022091E">
      <w:pPr>
        <w:ind w:left="1304"/>
        <w:rPr>
          <w:rFonts w:ascii="Arial" w:hAnsi="Arial" w:cs="Arial"/>
          <w:sz w:val="22"/>
          <w:szCs w:val="22"/>
        </w:rPr>
      </w:pPr>
    </w:p>
    <w:p w:rsidR="001050FD" w:rsidRPr="001050FD" w:rsidRDefault="001050FD" w:rsidP="001050FD">
      <w:pPr>
        <w:pStyle w:val="Kuvaotsikko"/>
        <w:rPr>
          <w:rFonts w:ascii="Arial" w:hAnsi="Arial" w:cs="Arial"/>
          <w:noProof/>
        </w:rPr>
      </w:pPr>
      <w:r w:rsidRPr="001050FD">
        <w:rPr>
          <w:rFonts w:ascii="Arial" w:hAnsi="Arial" w:cs="Arial"/>
        </w:rPr>
        <w:t xml:space="preserve">Kuva 4. TTO-alue A 60 MHz </w:t>
      </w:r>
      <w:r w:rsidRPr="001050FD">
        <w:rPr>
          <w:rFonts w:ascii="Arial" w:hAnsi="Arial" w:cs="Arial"/>
          <w:noProof/>
        </w:rPr>
        <w:t>ja Karaportin kampus 100 MHz levyiset yhtenäiset taajuuskaistat</w:t>
      </w:r>
    </w:p>
    <w:p w:rsidR="001050FD" w:rsidRDefault="001050FD" w:rsidP="001050FD"/>
    <w:p w:rsidR="001050FD" w:rsidRPr="001050FD" w:rsidRDefault="001050FD" w:rsidP="001050FD">
      <w:pPr>
        <w:pStyle w:val="Leipteksti"/>
        <w:spacing w:after="120"/>
        <w:ind w:left="1276"/>
        <w:rPr>
          <w:rFonts w:ascii="Arial" w:hAnsi="Arial" w:cs="Arial"/>
          <w:lang w:eastAsia="en-US"/>
        </w:rPr>
      </w:pPr>
      <w:r w:rsidRPr="001050FD">
        <w:rPr>
          <w:rFonts w:ascii="Arial" w:hAnsi="Arial" w:cs="Arial"/>
          <w:b/>
        </w:rPr>
        <w:t>TTO-alueet B ja C</w:t>
      </w:r>
      <w:r w:rsidRPr="001050FD">
        <w:rPr>
          <w:rFonts w:ascii="Arial" w:hAnsi="Arial" w:cs="Arial"/>
        </w:rPr>
        <w:t xml:space="preserve">: TTO-käyttöön osoitetaan yhtenäinen 60 MHz:n levyinen taajuuskaista (3700–3760 MHz, </w:t>
      </w:r>
      <w:proofErr w:type="spellStart"/>
      <w:r w:rsidRPr="001050FD">
        <w:rPr>
          <w:rFonts w:ascii="Arial" w:hAnsi="Arial" w:cs="Arial"/>
        </w:rPr>
        <w:t>f</w:t>
      </w:r>
      <w:r w:rsidRPr="001050FD">
        <w:rPr>
          <w:rFonts w:ascii="Arial" w:hAnsi="Arial" w:cs="Arial"/>
          <w:vertAlign w:val="subscript"/>
        </w:rPr>
        <w:t>c</w:t>
      </w:r>
      <w:proofErr w:type="spellEnd"/>
      <w:r>
        <w:rPr>
          <w:rFonts w:ascii="Arial" w:hAnsi="Arial" w:cs="Arial"/>
        </w:rPr>
        <w:t>=3730 MHz) kuvan 5</w:t>
      </w:r>
      <w:r w:rsidRPr="001050FD">
        <w:rPr>
          <w:rFonts w:ascii="Arial" w:hAnsi="Arial" w:cs="Arial"/>
        </w:rPr>
        <w:t xml:space="preserve"> mukaisesti.</w:t>
      </w:r>
      <w:r>
        <w:rPr>
          <w:rFonts w:ascii="Arial" w:hAnsi="Arial" w:cs="Arial"/>
        </w:rPr>
        <w:t xml:space="preserve"> </w:t>
      </w:r>
      <w:r w:rsidRPr="001050FD">
        <w:rPr>
          <w:rFonts w:ascii="Arial" w:hAnsi="Arial" w:cs="Arial"/>
        </w:rPr>
        <w:t>TTO-käyttö alueella C on sallittu vain sisätiloissa 3700–3760 MHz.</w:t>
      </w:r>
    </w:p>
    <w:p w:rsidR="001050FD" w:rsidRDefault="001050FD" w:rsidP="001050FD">
      <w:pPr>
        <w:pStyle w:val="Leipteksti"/>
        <w:keepNext/>
        <w:ind w:left="0"/>
        <w:jc w:val="center"/>
      </w:pPr>
      <w:r>
        <w:rPr>
          <w:noProof/>
        </w:rPr>
        <w:drawing>
          <wp:inline distT="0" distB="0" distL="0" distR="0">
            <wp:extent cx="6478270" cy="1061085"/>
            <wp:effectExtent l="0" t="0" r="0" b="571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D" w:rsidRPr="001050FD" w:rsidRDefault="001050FD" w:rsidP="001050FD">
      <w:pPr>
        <w:pStyle w:val="Kuvaotsikko"/>
        <w:rPr>
          <w:rFonts w:ascii="Arial" w:hAnsi="Arial" w:cs="Arial"/>
        </w:rPr>
      </w:pPr>
      <w:r w:rsidRPr="001050FD">
        <w:rPr>
          <w:rFonts w:ascii="Arial" w:hAnsi="Arial" w:cs="Arial"/>
        </w:rPr>
        <w:t>Kuva 5. TTO-alueet B ja C (Tampere) 60 MHz levyinen yhtenäinen taajuuskaista</w:t>
      </w:r>
    </w:p>
    <w:p w:rsidR="001050FD" w:rsidRDefault="001050FD" w:rsidP="001050FD"/>
    <w:p w:rsidR="001050FD" w:rsidRPr="001050FD" w:rsidRDefault="001050FD" w:rsidP="001050FD">
      <w:pPr>
        <w:pStyle w:val="Leipteksti"/>
        <w:ind w:left="1276"/>
        <w:rPr>
          <w:rFonts w:ascii="Arial" w:hAnsi="Arial" w:cs="Arial"/>
          <w:lang w:eastAsia="en-US"/>
        </w:rPr>
      </w:pPr>
      <w:r w:rsidRPr="001050FD">
        <w:rPr>
          <w:rFonts w:ascii="Arial" w:hAnsi="Arial" w:cs="Arial"/>
          <w:b/>
        </w:rPr>
        <w:t>TTO-alue D ja D1:</w:t>
      </w:r>
      <w:r w:rsidRPr="001050FD">
        <w:rPr>
          <w:rFonts w:ascii="Arial" w:hAnsi="Arial" w:cs="Arial"/>
        </w:rPr>
        <w:t xml:space="preserve"> TTO-käyttöön osoitetaan yhtenäinen 100 MHz:n levyinen taajuuskaista (3680–3780 MHz, </w:t>
      </w:r>
      <w:proofErr w:type="spellStart"/>
      <w:r w:rsidRPr="001050FD">
        <w:rPr>
          <w:rFonts w:ascii="Arial" w:hAnsi="Arial" w:cs="Arial"/>
        </w:rPr>
        <w:t>f</w:t>
      </w:r>
      <w:r w:rsidRPr="001050FD">
        <w:rPr>
          <w:rFonts w:ascii="Arial" w:hAnsi="Arial" w:cs="Arial"/>
          <w:vertAlign w:val="subscript"/>
        </w:rPr>
        <w:t>c</w:t>
      </w:r>
      <w:proofErr w:type="spellEnd"/>
      <w:r w:rsidRPr="001050FD">
        <w:rPr>
          <w:rFonts w:ascii="Arial" w:hAnsi="Arial" w:cs="Arial"/>
        </w:rPr>
        <w:t xml:space="preserve">=3730 MHz) Ruskon alueelle (D1) ja lisäksi koko TTO-alueelle osoitetaan 60 MHz:n levyinen taajuuskaista, merkitty katkoviivalla (3700–3760 MHz, </w:t>
      </w:r>
      <w:proofErr w:type="spellStart"/>
      <w:r w:rsidRPr="001050FD">
        <w:rPr>
          <w:rFonts w:ascii="Arial" w:hAnsi="Arial" w:cs="Arial"/>
        </w:rPr>
        <w:t>f</w:t>
      </w:r>
      <w:r w:rsidRPr="001050FD">
        <w:rPr>
          <w:rFonts w:ascii="Arial" w:hAnsi="Arial" w:cs="Arial"/>
          <w:vertAlign w:val="subscript"/>
        </w:rPr>
        <w:t>c</w:t>
      </w:r>
      <w:proofErr w:type="spellEnd"/>
      <w:r>
        <w:rPr>
          <w:rFonts w:ascii="Arial" w:hAnsi="Arial" w:cs="Arial"/>
        </w:rPr>
        <w:t>=3730 MHz) kuvan 6</w:t>
      </w:r>
      <w:r w:rsidRPr="001050FD">
        <w:rPr>
          <w:rFonts w:ascii="Arial" w:hAnsi="Arial" w:cs="Arial"/>
        </w:rPr>
        <w:t xml:space="preserve"> mukaisesti.</w:t>
      </w:r>
    </w:p>
    <w:p w:rsidR="001050FD" w:rsidRDefault="001050FD" w:rsidP="001050FD">
      <w:pPr>
        <w:pStyle w:val="Leipteksti"/>
        <w:keepNext/>
        <w:ind w:left="0"/>
        <w:jc w:val="center"/>
      </w:pPr>
      <w:r>
        <w:rPr>
          <w:noProof/>
        </w:rPr>
        <w:drawing>
          <wp:inline distT="0" distB="0" distL="0" distR="0">
            <wp:extent cx="6478270" cy="1095375"/>
            <wp:effectExtent l="0" t="0" r="0" b="9525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FD" w:rsidRPr="001050FD" w:rsidRDefault="001050FD" w:rsidP="001050FD">
      <w:pPr>
        <w:pStyle w:val="Kuvaotsikko"/>
        <w:rPr>
          <w:rFonts w:ascii="Arial" w:hAnsi="Arial" w:cs="Arial"/>
        </w:rPr>
      </w:pPr>
      <w:r w:rsidRPr="001050FD">
        <w:rPr>
          <w:rFonts w:ascii="Arial" w:hAnsi="Arial" w:cs="Arial"/>
        </w:rPr>
        <w:t>Kuva 6. TTO-alue D (Oulu) 60 MHz ja Ruskon alue 100 MHz levyiset yhtenäiset taajuuskaistat</w:t>
      </w:r>
    </w:p>
    <w:p w:rsidR="001050FD" w:rsidRPr="001050FD" w:rsidRDefault="001050FD" w:rsidP="001050FD"/>
    <w:p w:rsidR="001050FD" w:rsidRDefault="00CC51B3" w:rsidP="001050FD">
      <w:pPr>
        <w:rPr>
          <w:rFonts w:ascii="Arial" w:hAnsi="Arial" w:cs="Arial"/>
          <w:sz w:val="22"/>
          <w:u w:val="single"/>
        </w:rPr>
      </w:pPr>
      <w:r>
        <w:tab/>
      </w:r>
      <w:r w:rsidRPr="00CC51B3">
        <w:rPr>
          <w:rFonts w:ascii="Arial" w:hAnsi="Arial" w:cs="Arial"/>
          <w:sz w:val="22"/>
          <w:u w:val="single"/>
        </w:rPr>
        <w:t>Ensisijainen taajuuskäyttö</w:t>
      </w:r>
    </w:p>
    <w:p w:rsidR="00CC51B3" w:rsidRDefault="00CC51B3" w:rsidP="001050FD">
      <w:pPr>
        <w:rPr>
          <w:rFonts w:ascii="Arial" w:hAnsi="Arial" w:cs="Arial"/>
          <w:sz w:val="22"/>
          <w:u w:val="single"/>
        </w:rPr>
      </w:pPr>
    </w:p>
    <w:p w:rsidR="00CC51B3" w:rsidRDefault="00090D7F" w:rsidP="00CC51B3">
      <w:pPr>
        <w:ind w:left="1304" w:firstLine="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Tilanteessa, jossa TT</w:t>
      </w:r>
      <w:r w:rsidR="00CC51B3">
        <w:rPr>
          <w:rFonts w:ascii="Arial" w:hAnsi="Arial" w:cs="Arial"/>
          <w:sz w:val="22"/>
        </w:rPr>
        <w:t>O-alueella siirrytään 3,5 gigahertsin verkkotoimilupien mukaisten taajuusalueiden käyttöön, osoitetaan TTO-taajuudet seuraavasti:</w:t>
      </w:r>
    </w:p>
    <w:p w:rsidR="00CC51B3" w:rsidRDefault="00CC51B3" w:rsidP="00CC51B3">
      <w:pPr>
        <w:ind w:left="1304" w:firstLine="1"/>
        <w:rPr>
          <w:rFonts w:ascii="Arial" w:hAnsi="Arial" w:cs="Arial"/>
          <w:sz w:val="22"/>
        </w:rPr>
      </w:pPr>
    </w:p>
    <w:p w:rsidR="00CC51B3" w:rsidRDefault="00CC51B3" w:rsidP="00CC51B3">
      <w:pPr>
        <w:ind w:left="1304" w:firstLine="1"/>
        <w:rPr>
          <w:rFonts w:ascii="Arial" w:hAnsi="Arial" w:cs="Arial"/>
          <w:sz w:val="22"/>
        </w:rPr>
      </w:pPr>
      <w:r w:rsidRPr="00CC51B3">
        <w:rPr>
          <w:rFonts w:ascii="Arial" w:hAnsi="Arial" w:cs="Arial"/>
          <w:b/>
          <w:sz w:val="22"/>
        </w:rPr>
        <w:t>TTO-alu</w:t>
      </w:r>
      <w:r w:rsidR="00090D7F">
        <w:rPr>
          <w:rFonts w:ascii="Arial" w:hAnsi="Arial" w:cs="Arial"/>
          <w:b/>
          <w:sz w:val="22"/>
        </w:rPr>
        <w:t>e</w:t>
      </w:r>
      <w:r w:rsidRPr="00CC51B3">
        <w:rPr>
          <w:rFonts w:ascii="Arial" w:hAnsi="Arial" w:cs="Arial"/>
          <w:b/>
          <w:sz w:val="22"/>
        </w:rPr>
        <w:t>e</w:t>
      </w:r>
      <w:r w:rsidR="00090D7F">
        <w:rPr>
          <w:rFonts w:ascii="Arial" w:hAnsi="Arial" w:cs="Arial"/>
          <w:b/>
          <w:sz w:val="22"/>
        </w:rPr>
        <w:t>t</w:t>
      </w:r>
      <w:r w:rsidRPr="00CC51B3">
        <w:rPr>
          <w:rFonts w:ascii="Arial" w:hAnsi="Arial" w:cs="Arial"/>
          <w:b/>
          <w:sz w:val="22"/>
        </w:rPr>
        <w:t xml:space="preserve"> A</w:t>
      </w:r>
      <w:r w:rsidR="00090D7F">
        <w:rPr>
          <w:rFonts w:ascii="Arial" w:hAnsi="Arial" w:cs="Arial"/>
          <w:b/>
          <w:sz w:val="22"/>
        </w:rPr>
        <w:t xml:space="preserve"> ja A1</w:t>
      </w:r>
      <w:r w:rsidRPr="00CC51B3">
        <w:rPr>
          <w:rFonts w:ascii="Arial" w:hAnsi="Arial" w:cs="Arial"/>
          <w:sz w:val="22"/>
        </w:rPr>
        <w:t xml:space="preserve">: TTO-käyttöön osoitetaan yhtenäinen 100 MHz:n levyinen taajuuskaista (3620–3720 MHz, </w:t>
      </w:r>
      <w:proofErr w:type="spellStart"/>
      <w:r w:rsidRPr="00CC51B3">
        <w:rPr>
          <w:rFonts w:ascii="Arial" w:hAnsi="Arial" w:cs="Arial"/>
          <w:sz w:val="22"/>
        </w:rPr>
        <w:t>fc</w:t>
      </w:r>
      <w:proofErr w:type="spellEnd"/>
      <w:r w:rsidRPr="00CC51B3">
        <w:rPr>
          <w:rFonts w:ascii="Arial" w:hAnsi="Arial" w:cs="Arial"/>
          <w:sz w:val="22"/>
        </w:rPr>
        <w:t>=3670 MHz) Karaportin alueelle ja lisäksi koko TTO-alueelle osoitetaan 60 MHz:n levyinen taajuuskaista, merkitty katkoviivalla (364</w:t>
      </w:r>
      <w:r>
        <w:rPr>
          <w:rFonts w:ascii="Arial" w:hAnsi="Arial" w:cs="Arial"/>
          <w:sz w:val="22"/>
        </w:rPr>
        <w:t xml:space="preserve">0–3700 MHz, </w:t>
      </w:r>
      <w:proofErr w:type="spellStart"/>
      <w:r>
        <w:rPr>
          <w:rFonts w:ascii="Arial" w:hAnsi="Arial" w:cs="Arial"/>
          <w:sz w:val="22"/>
        </w:rPr>
        <w:t>fc</w:t>
      </w:r>
      <w:proofErr w:type="spellEnd"/>
      <w:r>
        <w:rPr>
          <w:rFonts w:ascii="Arial" w:hAnsi="Arial" w:cs="Arial"/>
          <w:sz w:val="22"/>
        </w:rPr>
        <w:t>=3670 MHz) kuvan 7</w:t>
      </w:r>
      <w:r w:rsidRPr="00CC51B3">
        <w:rPr>
          <w:rFonts w:ascii="Arial" w:hAnsi="Arial" w:cs="Arial"/>
          <w:sz w:val="22"/>
        </w:rPr>
        <w:t xml:space="preserve"> mukaisesti. </w:t>
      </w:r>
    </w:p>
    <w:p w:rsidR="00CC51B3" w:rsidRDefault="00CC51B3" w:rsidP="00CC51B3">
      <w:pPr>
        <w:ind w:left="1304" w:firstLine="1"/>
        <w:rPr>
          <w:rFonts w:ascii="Arial" w:hAnsi="Arial" w:cs="Arial"/>
          <w:sz w:val="22"/>
        </w:rPr>
      </w:pPr>
    </w:p>
    <w:p w:rsidR="00CC51B3" w:rsidRDefault="00CC51B3" w:rsidP="00CC51B3">
      <w:pPr>
        <w:pStyle w:val="Leipteksti"/>
        <w:keepNext/>
        <w:ind w:left="0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6478270" cy="1224915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B3" w:rsidRPr="00CC51B3" w:rsidRDefault="00CC51B3" w:rsidP="00CC51B3">
      <w:pPr>
        <w:pStyle w:val="Kuvaotsikko"/>
        <w:rPr>
          <w:rFonts w:ascii="Arial" w:hAnsi="Arial" w:cs="Arial"/>
        </w:rPr>
      </w:pPr>
      <w:r w:rsidRPr="00CC51B3">
        <w:rPr>
          <w:rFonts w:ascii="Arial" w:hAnsi="Arial" w:cs="Arial"/>
        </w:rPr>
        <w:t xml:space="preserve">Kuva </w:t>
      </w:r>
      <w:r>
        <w:rPr>
          <w:rFonts w:ascii="Arial" w:hAnsi="Arial" w:cs="Arial"/>
        </w:rPr>
        <w:t>7</w:t>
      </w:r>
      <w:r w:rsidRPr="00CC51B3">
        <w:rPr>
          <w:rFonts w:ascii="Arial" w:hAnsi="Arial" w:cs="Arial"/>
        </w:rPr>
        <w:t>. TTO-alue A (pääkaupunkiseutu) 60 MHz ja Karaportin kampus 100 MHz levyiset yhtenäiset taajuuskaistat</w:t>
      </w:r>
    </w:p>
    <w:p w:rsidR="00CC51B3" w:rsidRPr="00CC51B3" w:rsidRDefault="00CC51B3" w:rsidP="00CC51B3">
      <w:pPr>
        <w:pStyle w:val="Leipteksti"/>
        <w:spacing w:after="120"/>
        <w:ind w:left="1134"/>
        <w:rPr>
          <w:rFonts w:ascii="Arial" w:hAnsi="Arial" w:cs="Arial"/>
          <w:lang w:eastAsia="en-US"/>
        </w:rPr>
      </w:pPr>
      <w:r w:rsidRPr="00CC51B3">
        <w:rPr>
          <w:rFonts w:ascii="Arial" w:hAnsi="Arial" w:cs="Arial"/>
          <w:b/>
        </w:rPr>
        <w:t>TTO-alueet B ja C:</w:t>
      </w:r>
      <w:r w:rsidRPr="00CC51B3">
        <w:rPr>
          <w:rFonts w:ascii="Arial" w:hAnsi="Arial" w:cs="Arial"/>
        </w:rPr>
        <w:t xml:space="preserve"> TTO-käyttöön osoitetaan yhtenäinen 60 MHz:n levyinen taajuuskaista (3510–3570 MHz, </w:t>
      </w:r>
      <w:proofErr w:type="spellStart"/>
      <w:r w:rsidRPr="00CC51B3">
        <w:rPr>
          <w:rFonts w:ascii="Arial" w:hAnsi="Arial" w:cs="Arial"/>
        </w:rPr>
        <w:t>f</w:t>
      </w:r>
      <w:r w:rsidRPr="00CC51B3">
        <w:rPr>
          <w:rFonts w:ascii="Arial" w:hAnsi="Arial" w:cs="Arial"/>
          <w:vertAlign w:val="subscript"/>
        </w:rPr>
        <w:t>c</w:t>
      </w:r>
      <w:proofErr w:type="spellEnd"/>
      <w:r w:rsidR="00090D7F">
        <w:rPr>
          <w:rFonts w:ascii="Arial" w:hAnsi="Arial" w:cs="Arial"/>
        </w:rPr>
        <w:t>=3540 MHz) kuvan 8</w:t>
      </w:r>
      <w:r w:rsidRPr="00CC51B3">
        <w:rPr>
          <w:rFonts w:ascii="Arial" w:hAnsi="Arial" w:cs="Arial"/>
        </w:rPr>
        <w:t xml:space="preserve"> mukaisesti. TTO-käyttö alueella C on sallittu vain sisätiloissa 3510–3570 MHz.</w:t>
      </w:r>
    </w:p>
    <w:p w:rsidR="00CC51B3" w:rsidRDefault="00CC51B3" w:rsidP="00CC51B3">
      <w:pPr>
        <w:pStyle w:val="Leipteksti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6478270" cy="1035050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B3" w:rsidRPr="00090D7F" w:rsidRDefault="00CC51B3" w:rsidP="00CC51B3">
      <w:pPr>
        <w:pStyle w:val="Kuvaotsikko"/>
        <w:rPr>
          <w:rFonts w:ascii="Arial" w:hAnsi="Arial" w:cs="Arial"/>
        </w:rPr>
      </w:pPr>
      <w:r w:rsidRPr="00090D7F">
        <w:rPr>
          <w:rFonts w:ascii="Arial" w:hAnsi="Arial" w:cs="Arial"/>
        </w:rPr>
        <w:t xml:space="preserve">Kuva </w:t>
      </w:r>
      <w:r w:rsidR="00090D7F">
        <w:rPr>
          <w:rFonts w:ascii="Arial" w:hAnsi="Arial" w:cs="Arial"/>
        </w:rPr>
        <w:t>8</w:t>
      </w:r>
      <w:r w:rsidRPr="00090D7F">
        <w:rPr>
          <w:rFonts w:ascii="Arial" w:hAnsi="Arial" w:cs="Arial"/>
        </w:rPr>
        <w:t>. TTO-alueet B ja C (Tampere) 60 MHz levyinen yhtenäinen taajuuskaista</w:t>
      </w:r>
    </w:p>
    <w:p w:rsidR="00090D7F" w:rsidRPr="00090D7F" w:rsidRDefault="00090D7F" w:rsidP="00090D7F">
      <w:pPr>
        <w:pStyle w:val="Leipteksti"/>
        <w:spacing w:after="120"/>
        <w:ind w:left="1134"/>
        <w:rPr>
          <w:rFonts w:ascii="Arial" w:hAnsi="Arial" w:cs="Arial"/>
          <w:lang w:eastAsia="en-US"/>
        </w:rPr>
      </w:pPr>
      <w:r w:rsidRPr="00090D7F">
        <w:rPr>
          <w:rFonts w:ascii="Arial" w:hAnsi="Arial" w:cs="Arial"/>
          <w:b/>
        </w:rPr>
        <w:t>TTO-alue</w:t>
      </w:r>
      <w:r>
        <w:rPr>
          <w:rFonts w:ascii="Arial" w:hAnsi="Arial" w:cs="Arial"/>
          <w:b/>
        </w:rPr>
        <w:t>et</w:t>
      </w:r>
      <w:r w:rsidRPr="00090D7F">
        <w:rPr>
          <w:rFonts w:ascii="Arial" w:hAnsi="Arial" w:cs="Arial"/>
          <w:b/>
        </w:rPr>
        <w:t xml:space="preserve"> D</w:t>
      </w:r>
      <w:r>
        <w:rPr>
          <w:rFonts w:ascii="Arial" w:hAnsi="Arial" w:cs="Arial"/>
          <w:b/>
        </w:rPr>
        <w:t xml:space="preserve"> ja D1</w:t>
      </w:r>
      <w:r w:rsidRPr="00090D7F">
        <w:rPr>
          <w:rFonts w:ascii="Arial" w:hAnsi="Arial" w:cs="Arial"/>
          <w:b/>
        </w:rPr>
        <w:t>:</w:t>
      </w:r>
      <w:r w:rsidRPr="00090D7F">
        <w:rPr>
          <w:rFonts w:ascii="Arial" w:hAnsi="Arial" w:cs="Arial"/>
        </w:rPr>
        <w:t xml:space="preserve"> TTO-käyttöön osoitetaan yhtenäinen 100 MHz:n levyinen taajuuskaista (3490–3590 MHz, </w:t>
      </w:r>
      <w:proofErr w:type="spellStart"/>
      <w:r w:rsidRPr="00090D7F">
        <w:rPr>
          <w:rFonts w:ascii="Arial" w:hAnsi="Arial" w:cs="Arial"/>
        </w:rPr>
        <w:t>f</w:t>
      </w:r>
      <w:r w:rsidRPr="00090D7F">
        <w:rPr>
          <w:rFonts w:ascii="Arial" w:hAnsi="Arial" w:cs="Arial"/>
          <w:vertAlign w:val="subscript"/>
        </w:rPr>
        <w:t>c</w:t>
      </w:r>
      <w:proofErr w:type="spellEnd"/>
      <w:r w:rsidRPr="00090D7F">
        <w:rPr>
          <w:rFonts w:ascii="Arial" w:hAnsi="Arial" w:cs="Arial"/>
        </w:rPr>
        <w:t xml:space="preserve">=3540 MHz) Ruskon alueelle (D1) ja lisäksi koko TTO-alueelle D osoitetaan 60 MHz:n levyinen taajuuskaista, merkitty katkoviivalla (3510–3570 MHz, </w:t>
      </w:r>
      <w:proofErr w:type="spellStart"/>
      <w:r w:rsidRPr="00090D7F">
        <w:rPr>
          <w:rFonts w:ascii="Arial" w:hAnsi="Arial" w:cs="Arial"/>
        </w:rPr>
        <w:t>f</w:t>
      </w:r>
      <w:r w:rsidRPr="00090D7F">
        <w:rPr>
          <w:rFonts w:ascii="Arial" w:hAnsi="Arial" w:cs="Arial"/>
          <w:vertAlign w:val="subscript"/>
        </w:rPr>
        <w:t>c</w:t>
      </w:r>
      <w:proofErr w:type="spellEnd"/>
      <w:r>
        <w:rPr>
          <w:rFonts w:ascii="Arial" w:hAnsi="Arial" w:cs="Arial"/>
        </w:rPr>
        <w:t>=3540 MHz) kuvan 9</w:t>
      </w:r>
      <w:r w:rsidRPr="00090D7F">
        <w:rPr>
          <w:rFonts w:ascii="Arial" w:hAnsi="Arial" w:cs="Arial"/>
        </w:rPr>
        <w:t xml:space="preserve"> mukaisesti. </w:t>
      </w:r>
    </w:p>
    <w:p w:rsidR="00090D7F" w:rsidRDefault="00090D7F" w:rsidP="00090D7F">
      <w:pPr>
        <w:pStyle w:val="Leipteksti"/>
        <w:keepNext/>
        <w:ind w:left="0"/>
        <w:jc w:val="center"/>
      </w:pPr>
      <w:r>
        <w:rPr>
          <w:noProof/>
        </w:rPr>
        <w:drawing>
          <wp:inline distT="0" distB="0" distL="0" distR="0">
            <wp:extent cx="5943600" cy="1198880"/>
            <wp:effectExtent l="0" t="0" r="0" b="127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7F" w:rsidRPr="00090D7F" w:rsidRDefault="00090D7F" w:rsidP="00090D7F">
      <w:pPr>
        <w:pStyle w:val="Kuvaotsikko"/>
        <w:rPr>
          <w:rFonts w:ascii="Arial" w:hAnsi="Arial" w:cs="Arial"/>
        </w:rPr>
      </w:pPr>
      <w:r w:rsidRPr="00090D7F">
        <w:rPr>
          <w:rFonts w:ascii="Arial" w:hAnsi="Arial" w:cs="Arial"/>
        </w:rPr>
        <w:t>Kuva 9. TTO-alue D (Oulu) 60 MHz ja Ruskon alue 100 MHz levyiset yhtenäiset taajuuskaistat</w:t>
      </w:r>
    </w:p>
    <w:p w:rsidR="00CC51B3" w:rsidRPr="00CC51B3" w:rsidRDefault="00CC51B3" w:rsidP="00CC51B3">
      <w:pPr>
        <w:ind w:left="1304" w:firstLine="1"/>
        <w:rPr>
          <w:rFonts w:ascii="Arial" w:hAnsi="Arial" w:cs="Arial"/>
          <w:sz w:val="22"/>
        </w:rPr>
      </w:pPr>
    </w:p>
    <w:p w:rsidR="00EE24B6" w:rsidRDefault="00EE24B6" w:rsidP="00EE24B6">
      <w:pPr>
        <w:rPr>
          <w:rFonts w:ascii="Arial" w:hAnsi="Arial" w:cs="Arial"/>
          <w:sz w:val="22"/>
          <w:szCs w:val="22"/>
        </w:rPr>
      </w:pPr>
    </w:p>
    <w:p w:rsidR="00EE24B6" w:rsidRPr="00EE24B6" w:rsidRDefault="00EE24B6" w:rsidP="00EE24B6">
      <w:pPr>
        <w:rPr>
          <w:rFonts w:ascii="Arial" w:hAnsi="Arial" w:cs="Arial"/>
          <w:b/>
          <w:sz w:val="22"/>
          <w:szCs w:val="22"/>
        </w:rPr>
      </w:pPr>
      <w:r w:rsidRPr="00EE24B6">
        <w:rPr>
          <w:rFonts w:ascii="Arial" w:hAnsi="Arial" w:cs="Arial"/>
          <w:b/>
          <w:sz w:val="22"/>
          <w:szCs w:val="22"/>
        </w:rPr>
        <w:t>Asetuksen voimaantulo</w:t>
      </w:r>
    </w:p>
    <w:p w:rsidR="00EE24B6" w:rsidRDefault="00EE24B6" w:rsidP="00EE24B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E24B6" w:rsidRDefault="00EE24B6" w:rsidP="00EE24B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Asetuksen on tarkoitus tulla voimaan (</w:t>
      </w:r>
      <w:r>
        <w:rPr>
          <w:rFonts w:ascii="Arial" w:hAnsi="Arial" w:cs="Arial"/>
          <w:i/>
          <w:sz w:val="22"/>
          <w:szCs w:val="22"/>
        </w:rPr>
        <w:t>täydennetään</w:t>
      </w:r>
      <w:r>
        <w:rPr>
          <w:rFonts w:ascii="Arial" w:hAnsi="Arial" w:cs="Arial"/>
          <w:sz w:val="22"/>
          <w:szCs w:val="22"/>
        </w:rPr>
        <w:t>).</w:t>
      </w:r>
    </w:p>
    <w:p w:rsidR="00EE24B6" w:rsidRDefault="00EE24B6" w:rsidP="00EE24B6">
      <w:pPr>
        <w:rPr>
          <w:rFonts w:ascii="Arial" w:hAnsi="Arial" w:cs="Arial"/>
          <w:sz w:val="22"/>
          <w:szCs w:val="22"/>
        </w:rPr>
      </w:pPr>
    </w:p>
    <w:p w:rsidR="00EE24B6" w:rsidRPr="00EE24B6" w:rsidRDefault="00EE24B6" w:rsidP="00EE24B6">
      <w:pPr>
        <w:rPr>
          <w:rFonts w:ascii="Arial" w:hAnsi="Arial" w:cs="Arial"/>
          <w:b/>
          <w:sz w:val="22"/>
          <w:szCs w:val="22"/>
        </w:rPr>
      </w:pPr>
      <w:r w:rsidRPr="00EE24B6">
        <w:rPr>
          <w:rFonts w:ascii="Arial" w:hAnsi="Arial" w:cs="Arial"/>
          <w:b/>
          <w:sz w:val="22"/>
          <w:szCs w:val="22"/>
        </w:rPr>
        <w:t>Asian valmistelu</w:t>
      </w:r>
    </w:p>
    <w:p w:rsidR="00EE24B6" w:rsidRDefault="00EE24B6" w:rsidP="00EE24B6">
      <w:pPr>
        <w:rPr>
          <w:rFonts w:ascii="Arial" w:hAnsi="Arial" w:cs="Arial"/>
          <w:sz w:val="22"/>
          <w:szCs w:val="22"/>
        </w:rPr>
      </w:pPr>
    </w:p>
    <w:p w:rsidR="00EE24B6" w:rsidRDefault="00EE24B6" w:rsidP="00EE24B6">
      <w:pPr>
        <w:ind w:left="1304"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Liikenne- ja viestintäministeriö toimitti asetuksen laajalle lausuntokierrokselle keskeisille viranomaisille ja etujärjestöille, teleyrityksille ja muille alan toimijoille ja taajuusalueiden käyttäjäryhmiä ja kuluttajia edustaville tahoille (</w:t>
      </w:r>
      <w:r w:rsidRPr="00EE24B6">
        <w:rPr>
          <w:rFonts w:ascii="Arial" w:hAnsi="Arial" w:cs="Arial"/>
          <w:i/>
          <w:sz w:val="22"/>
          <w:szCs w:val="22"/>
        </w:rPr>
        <w:t>täydennetään</w:t>
      </w:r>
      <w:r>
        <w:rPr>
          <w:rFonts w:ascii="Arial" w:hAnsi="Arial" w:cs="Arial"/>
          <w:sz w:val="22"/>
          <w:szCs w:val="22"/>
        </w:rPr>
        <w:t xml:space="preserve">). </w:t>
      </w:r>
    </w:p>
    <w:p w:rsidR="00EE24B6" w:rsidRDefault="00EE24B6" w:rsidP="00EE24B6">
      <w:pPr>
        <w:rPr>
          <w:rFonts w:ascii="Arial" w:hAnsi="Arial" w:cs="Arial"/>
          <w:sz w:val="22"/>
          <w:szCs w:val="22"/>
        </w:rPr>
      </w:pPr>
    </w:p>
    <w:p w:rsidR="00EE24B6" w:rsidRPr="00EE24B6" w:rsidRDefault="00EE24B6" w:rsidP="00EE24B6">
      <w:pPr>
        <w:rPr>
          <w:rFonts w:ascii="Arial" w:hAnsi="Arial" w:cs="Arial"/>
          <w:b/>
          <w:sz w:val="22"/>
          <w:szCs w:val="22"/>
        </w:rPr>
      </w:pPr>
      <w:r w:rsidRPr="00EE24B6">
        <w:rPr>
          <w:rFonts w:ascii="Arial" w:hAnsi="Arial" w:cs="Arial"/>
          <w:b/>
          <w:sz w:val="22"/>
          <w:szCs w:val="22"/>
        </w:rPr>
        <w:t>Esitys</w:t>
      </w:r>
    </w:p>
    <w:p w:rsidR="00EE24B6" w:rsidRDefault="00EE24B6" w:rsidP="00EE24B6">
      <w:pPr>
        <w:rPr>
          <w:rFonts w:ascii="Arial" w:hAnsi="Arial" w:cs="Arial"/>
          <w:sz w:val="22"/>
          <w:szCs w:val="22"/>
        </w:rPr>
      </w:pPr>
    </w:p>
    <w:p w:rsidR="00EE24B6" w:rsidRPr="0022091E" w:rsidRDefault="00EE24B6" w:rsidP="00EE24B6">
      <w:pPr>
        <w:ind w:left="1304"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Liikenne- ja viestintäministeriö esittää, että valtioneuvosto antaa asetuksen radiotaajuuksien käytöstä ja taajuussuunnitelmasta annetun valtioneuvoston asetuksen muuttamisesta edellä esitetyllä tavalla. </w:t>
      </w:r>
    </w:p>
    <w:sectPr w:rsidR="00EE24B6" w:rsidRPr="0022091E" w:rsidSect="00562E6B">
      <w:headerReference w:type="default" r:id="rId16"/>
      <w:footerReference w:type="default" r:id="rId17"/>
      <w:headerReference w:type="first" r:id="rId18"/>
      <w:pgSz w:w="11906" w:h="16838"/>
      <w:pgMar w:top="567" w:right="1134" w:bottom="851" w:left="1134" w:header="709" w:footer="9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2D1" w:rsidRDefault="001732D1" w:rsidP="008E0F4A">
      <w:r>
        <w:separator/>
      </w:r>
    </w:p>
  </w:endnote>
  <w:endnote w:type="continuationSeparator" w:id="0">
    <w:p w:rsidR="001732D1" w:rsidRDefault="001732D1" w:rsidP="008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ACE" w:rsidRDefault="00FA6ACE" w:rsidP="00FA6ACE">
    <w:pPr>
      <w:pStyle w:val="Alatunniste"/>
      <w:ind w:right="28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2D1" w:rsidRDefault="001732D1" w:rsidP="008E0F4A">
      <w:r>
        <w:separator/>
      </w:r>
    </w:p>
  </w:footnote>
  <w:footnote w:type="continuationSeparator" w:id="0">
    <w:p w:rsidR="001732D1" w:rsidRDefault="001732D1" w:rsidP="008E0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02399"/>
      <w:docPartObj>
        <w:docPartGallery w:val="Page Numbers (Top of Page)"/>
        <w:docPartUnique/>
      </w:docPartObj>
    </w:sdtPr>
    <w:sdtEndPr/>
    <w:sdtContent>
      <w:p w:rsidR="008E0F4A" w:rsidRDefault="00150434" w:rsidP="00562E6B">
        <w:pPr>
          <w:ind w:right="-143" w:firstLine="878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702E">
          <w:rPr>
            <w:noProof/>
          </w:rPr>
          <w:t>7</w:t>
        </w:r>
        <w:r>
          <w:rPr>
            <w:noProof/>
          </w:rPr>
          <w:fldChar w:fldCharType="end"/>
        </w:r>
        <w:r w:rsidR="008E0F4A">
          <w:t>(</w:t>
        </w:r>
        <w:r w:rsidR="00E37F5D">
          <w:rPr>
            <w:noProof/>
          </w:rPr>
          <w:fldChar w:fldCharType="begin"/>
        </w:r>
        <w:r w:rsidR="00E37F5D">
          <w:rPr>
            <w:noProof/>
          </w:rPr>
          <w:instrText xml:space="preserve"> NUMPAGES   \* MERGEFORMAT </w:instrText>
        </w:r>
        <w:r w:rsidR="00E37F5D">
          <w:rPr>
            <w:noProof/>
          </w:rPr>
          <w:fldChar w:fldCharType="separate"/>
        </w:r>
        <w:r w:rsidR="00F6702E">
          <w:rPr>
            <w:noProof/>
          </w:rPr>
          <w:t>7</w:t>
        </w:r>
        <w:r w:rsidR="00E37F5D">
          <w:rPr>
            <w:noProof/>
          </w:rPr>
          <w:fldChar w:fldCharType="end"/>
        </w:r>
        <w:r w:rsidR="008E0F4A">
          <w:t>)</w:t>
        </w:r>
      </w:p>
      <w:p w:rsidR="008E0F4A" w:rsidRDefault="008E0F4A" w:rsidP="00562E6B">
        <w:pPr>
          <w:tabs>
            <w:tab w:val="left" w:pos="5245"/>
          </w:tabs>
        </w:pPr>
        <w:r>
          <w:tab/>
        </w:r>
      </w:p>
      <w:p w:rsidR="00FA6ACE" w:rsidRDefault="00FA6ACE" w:rsidP="00562E6B"/>
      <w:p w:rsidR="008E0F4A" w:rsidRDefault="001732D1" w:rsidP="00562E6B"/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02400"/>
      <w:docPartObj>
        <w:docPartGallery w:val="Page Numbers (Top of Page)"/>
        <w:docPartUnique/>
      </w:docPartObj>
    </w:sdtPr>
    <w:sdtEndPr/>
    <w:sdtContent>
      <w:p w:rsidR="004A22B5" w:rsidRPr="00A16F88" w:rsidRDefault="004A22B5" w:rsidP="004A22B5">
        <w:pPr>
          <w:pStyle w:val="Yltunniste"/>
          <w:rPr>
            <w:rFonts w:ascii="Arial" w:hAnsi="Arial" w:cs="Arial"/>
            <w:b/>
            <w:sz w:val="20"/>
          </w:rPr>
        </w:pPr>
        <w:r w:rsidRPr="00A16F88">
          <w:rPr>
            <w:rFonts w:ascii="Arial" w:hAnsi="Arial" w:cs="Arial"/>
            <w:b/>
            <w:sz w:val="20"/>
          </w:rPr>
          <w:t>LIIKENNE- JA VIESTINTÄMINISTERIÖ</w:t>
        </w:r>
        <w:r>
          <w:tab/>
        </w:r>
        <w:r>
          <w:tab/>
        </w:r>
        <w:r w:rsidRPr="00A16F88">
          <w:rPr>
            <w:rFonts w:ascii="Arial" w:hAnsi="Arial" w:cs="Arial"/>
            <w:b/>
            <w:sz w:val="20"/>
          </w:rPr>
          <w:t xml:space="preserve">Muistio </w:t>
        </w:r>
      </w:p>
      <w:p w:rsidR="004A22B5" w:rsidRPr="00A16F88" w:rsidRDefault="004A22B5" w:rsidP="004A22B5">
        <w:pPr>
          <w:pStyle w:val="Yltunniste"/>
          <w:rPr>
            <w:rFonts w:ascii="Arial" w:hAnsi="Arial" w:cs="Arial"/>
            <w:sz w:val="20"/>
          </w:rPr>
        </w:pPr>
        <w:r>
          <w:rPr>
            <w:rFonts w:ascii="Arial" w:hAnsi="Arial" w:cs="Arial"/>
            <w:sz w:val="20"/>
          </w:rPr>
          <w:t>Ylitarkastaja</w:t>
        </w:r>
        <w:r w:rsidRPr="00A16F88">
          <w:rPr>
            <w:rFonts w:ascii="Arial" w:hAnsi="Arial" w:cs="Arial"/>
            <w:sz w:val="20"/>
          </w:rPr>
          <w:tab/>
        </w:r>
        <w:r w:rsidRPr="00A16F88">
          <w:rPr>
            <w:rFonts w:ascii="Arial" w:hAnsi="Arial" w:cs="Arial"/>
            <w:sz w:val="20"/>
          </w:rPr>
          <w:tab/>
        </w:r>
        <w:r>
          <w:rPr>
            <w:rFonts w:ascii="Arial" w:hAnsi="Arial" w:cs="Arial"/>
            <w:sz w:val="20"/>
          </w:rPr>
          <w:t>x.x</w:t>
        </w:r>
        <w:r w:rsidRPr="00A16F88">
          <w:rPr>
            <w:rFonts w:ascii="Arial" w:hAnsi="Arial" w:cs="Arial"/>
            <w:sz w:val="20"/>
          </w:rPr>
          <w:t>.201</w:t>
        </w:r>
        <w:r>
          <w:rPr>
            <w:rFonts w:ascii="Arial" w:hAnsi="Arial" w:cs="Arial"/>
            <w:sz w:val="20"/>
          </w:rPr>
          <w:t>8</w:t>
        </w:r>
        <w:r w:rsidRPr="00A16F88">
          <w:rPr>
            <w:rFonts w:ascii="Arial" w:hAnsi="Arial" w:cs="Arial"/>
            <w:sz w:val="20"/>
          </w:rPr>
          <w:t xml:space="preserve"> </w:t>
        </w:r>
      </w:p>
      <w:p w:rsidR="004A22B5" w:rsidRPr="00A16F88" w:rsidRDefault="004A22B5" w:rsidP="004A22B5">
        <w:pPr>
          <w:pStyle w:val="Yltunniste"/>
          <w:rPr>
            <w:rFonts w:ascii="Arial" w:hAnsi="Arial" w:cs="Arial"/>
            <w:sz w:val="20"/>
          </w:rPr>
        </w:pPr>
        <w:r>
          <w:rPr>
            <w:rFonts w:ascii="Arial" w:hAnsi="Arial" w:cs="Arial"/>
            <w:sz w:val="20"/>
          </w:rPr>
          <w:t>Katariina Vuorela</w:t>
        </w:r>
      </w:p>
      <w:p w:rsidR="00CB4C78" w:rsidRDefault="001732D1" w:rsidP="00CB4C78"/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4133E"/>
    <w:multiLevelType w:val="hybridMultilevel"/>
    <w:tmpl w:val="E1DEBAE8"/>
    <w:lvl w:ilvl="0" w:tplc="72E2B9CA">
      <w:start w:val="1"/>
      <w:numFmt w:val="bullet"/>
      <w:pStyle w:val="VMLuettelonkappaletyyppi"/>
      <w:lvlText w:val="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 w15:restartNumberingAfterBreak="0">
    <w:nsid w:val="093D12DF"/>
    <w:multiLevelType w:val="multilevel"/>
    <w:tmpl w:val="D520AE78"/>
    <w:lvl w:ilvl="0">
      <w:start w:val="1"/>
      <w:numFmt w:val="bullet"/>
      <w:pStyle w:val="VMLuettelotyylipallukka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3798"/>
        </w:tabs>
        <w:ind w:left="3798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4518"/>
        </w:tabs>
        <w:ind w:left="4518" w:hanging="36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lvlText w:val="-"/>
      <w:lvlJc w:val="left"/>
      <w:pPr>
        <w:tabs>
          <w:tab w:val="num" w:pos="5238"/>
        </w:tabs>
        <w:ind w:left="5238" w:hanging="360"/>
      </w:pPr>
      <w:rPr>
        <w:rFonts w:ascii="Times New Roman" w:hAnsi="Times New Roman" w:cs="Times New Roman" w:hint="default"/>
        <w:sz w:val="24"/>
      </w:rPr>
    </w:lvl>
    <w:lvl w:ilvl="4">
      <w:start w:val="1"/>
      <w:numFmt w:val="bullet"/>
      <w:lvlText w:val="-"/>
      <w:lvlJc w:val="left"/>
      <w:pPr>
        <w:tabs>
          <w:tab w:val="num" w:pos="5958"/>
        </w:tabs>
        <w:ind w:left="5958" w:hanging="360"/>
      </w:pPr>
      <w:rPr>
        <w:rFonts w:ascii="Times New Roman" w:hAnsi="Times New Roman" w:cs="Times New Roman" w:hint="default"/>
        <w:sz w:val="24"/>
      </w:rPr>
    </w:lvl>
    <w:lvl w:ilvl="5">
      <w:start w:val="1"/>
      <w:numFmt w:val="bullet"/>
      <w:lvlText w:val="-"/>
      <w:lvlJc w:val="left"/>
      <w:pPr>
        <w:tabs>
          <w:tab w:val="num" w:pos="6678"/>
        </w:tabs>
        <w:ind w:left="6678" w:hanging="360"/>
      </w:pPr>
      <w:rPr>
        <w:rFonts w:ascii="Times New Roman" w:hAnsi="Times New Roman" w:cs="Times New Roman" w:hint="default"/>
        <w:sz w:val="24"/>
      </w:rPr>
    </w:lvl>
    <w:lvl w:ilvl="6">
      <w:start w:val="1"/>
      <w:numFmt w:val="bullet"/>
      <w:lvlText w:val="-"/>
      <w:lvlJc w:val="left"/>
      <w:pPr>
        <w:tabs>
          <w:tab w:val="num" w:pos="7398"/>
        </w:tabs>
        <w:ind w:left="7398" w:hanging="360"/>
      </w:pPr>
      <w:rPr>
        <w:rFonts w:ascii="Times New Roman" w:hAnsi="Times New Roman" w:cs="Times New Roman" w:hint="default"/>
        <w:sz w:val="24"/>
      </w:rPr>
    </w:lvl>
    <w:lvl w:ilvl="7">
      <w:start w:val="1"/>
      <w:numFmt w:val="bullet"/>
      <w:lvlText w:val="-"/>
      <w:lvlJc w:val="left"/>
      <w:pPr>
        <w:tabs>
          <w:tab w:val="num" w:pos="8118"/>
        </w:tabs>
        <w:ind w:left="8118" w:hanging="360"/>
      </w:pPr>
      <w:rPr>
        <w:rFonts w:ascii="Times New Roman" w:hAnsi="Times New Roman" w:cs="Times New Roman" w:hint="default"/>
        <w:sz w:val="24"/>
      </w:rPr>
    </w:lvl>
    <w:lvl w:ilvl="8">
      <w:start w:val="1"/>
      <w:numFmt w:val="bullet"/>
      <w:lvlText w:val="-"/>
      <w:lvlJc w:val="left"/>
      <w:pPr>
        <w:tabs>
          <w:tab w:val="num" w:pos="8838"/>
        </w:tabs>
        <w:ind w:left="8838" w:hanging="360"/>
      </w:pPr>
      <w:rPr>
        <w:rFonts w:ascii="Times New Roman" w:hAnsi="Times New Roman" w:cs="Times New Roman" w:hint="default"/>
        <w:sz w:val="24"/>
      </w:rPr>
    </w:lvl>
  </w:abstractNum>
  <w:abstractNum w:abstractNumId="2" w15:restartNumberingAfterBreak="0">
    <w:nsid w:val="0D3D12CF"/>
    <w:multiLevelType w:val="multilevel"/>
    <w:tmpl w:val="81CABD28"/>
    <w:lvl w:ilvl="0">
      <w:start w:val="1"/>
      <w:numFmt w:val="decimal"/>
      <w:pStyle w:val="VMOtsikkonum1"/>
      <w:suff w:val="space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MOtsikkonum2"/>
      <w:suff w:val="space"/>
      <w:lvlText w:val="%1.%2"/>
      <w:lvlJc w:val="left"/>
      <w:pPr>
        <w:ind w:left="1151" w:hanging="1151"/>
      </w:pPr>
      <w:rPr>
        <w:rFonts w:hint="default"/>
      </w:rPr>
    </w:lvl>
    <w:lvl w:ilvl="2">
      <w:start w:val="1"/>
      <w:numFmt w:val="decimal"/>
      <w:pStyle w:val="VMOtsikkonum3"/>
      <w:suff w:val="space"/>
      <w:lvlText w:val="%1.%2.%3"/>
      <w:lvlJc w:val="left"/>
      <w:pPr>
        <w:ind w:left="1582" w:hanging="15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4"/>
        </w:tabs>
        <w:ind w:left="337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4"/>
        </w:tabs>
        <w:ind w:left="354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57"/>
        </w:tabs>
        <w:ind w:left="3657" w:hanging="124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8"/>
        </w:tabs>
        <w:ind w:left="382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41"/>
        </w:tabs>
        <w:ind w:left="3941" w:hanging="1531"/>
      </w:pPr>
      <w:rPr>
        <w:rFonts w:hint="default"/>
      </w:rPr>
    </w:lvl>
  </w:abstractNum>
  <w:abstractNum w:abstractNumId="3" w15:restartNumberingAfterBreak="0">
    <w:nsid w:val="37267216"/>
    <w:multiLevelType w:val="hybridMultilevel"/>
    <w:tmpl w:val="5C62756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50E65"/>
    <w:multiLevelType w:val="multilevel"/>
    <w:tmpl w:val="B156CCBC"/>
    <w:lvl w:ilvl="0">
      <w:start w:val="1"/>
      <w:numFmt w:val="decimal"/>
      <w:suff w:val="space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152" w:hanging="1152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584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680" w:hanging="1440"/>
      </w:pPr>
      <w:rPr>
        <w:rFonts w:hint="default"/>
      </w:rPr>
    </w:lvl>
  </w:abstractNum>
  <w:abstractNum w:abstractNumId="5" w15:restartNumberingAfterBreak="0">
    <w:nsid w:val="5ADA1F29"/>
    <w:multiLevelType w:val="hybridMultilevel"/>
    <w:tmpl w:val="8B34DBE2"/>
    <w:lvl w:ilvl="0" w:tplc="0736E888">
      <w:start w:val="1"/>
      <w:numFmt w:val="decimal"/>
      <w:pStyle w:val="VMAsiakohta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07048"/>
    <w:multiLevelType w:val="hybridMultilevel"/>
    <w:tmpl w:val="BDB8BA8A"/>
    <w:lvl w:ilvl="0" w:tplc="07C80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876F9"/>
    <w:multiLevelType w:val="hybridMultilevel"/>
    <w:tmpl w:val="4B7C4ED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72237"/>
    <w:multiLevelType w:val="hybridMultilevel"/>
    <w:tmpl w:val="A9B63BAC"/>
    <w:lvl w:ilvl="0" w:tplc="DBEA1990">
      <w:start w:val="1"/>
      <w:numFmt w:val="decimal"/>
      <w:pStyle w:val="VMluettelonumeroin"/>
      <w:lvlText w:val="%1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4048" w:hanging="360"/>
      </w:pPr>
    </w:lvl>
    <w:lvl w:ilvl="2" w:tplc="040B001B" w:tentative="1">
      <w:start w:val="1"/>
      <w:numFmt w:val="lowerRoman"/>
      <w:lvlText w:val="%3."/>
      <w:lvlJc w:val="right"/>
      <w:pPr>
        <w:ind w:left="4768" w:hanging="180"/>
      </w:pPr>
    </w:lvl>
    <w:lvl w:ilvl="3" w:tplc="040B000F" w:tentative="1">
      <w:start w:val="1"/>
      <w:numFmt w:val="decimal"/>
      <w:lvlText w:val="%4."/>
      <w:lvlJc w:val="left"/>
      <w:pPr>
        <w:ind w:left="5488" w:hanging="360"/>
      </w:pPr>
    </w:lvl>
    <w:lvl w:ilvl="4" w:tplc="040B0019" w:tentative="1">
      <w:start w:val="1"/>
      <w:numFmt w:val="lowerLetter"/>
      <w:lvlText w:val="%5."/>
      <w:lvlJc w:val="left"/>
      <w:pPr>
        <w:ind w:left="6208" w:hanging="360"/>
      </w:pPr>
    </w:lvl>
    <w:lvl w:ilvl="5" w:tplc="040B001B" w:tentative="1">
      <w:start w:val="1"/>
      <w:numFmt w:val="lowerRoman"/>
      <w:lvlText w:val="%6."/>
      <w:lvlJc w:val="right"/>
      <w:pPr>
        <w:ind w:left="6928" w:hanging="180"/>
      </w:pPr>
    </w:lvl>
    <w:lvl w:ilvl="6" w:tplc="040B000F" w:tentative="1">
      <w:start w:val="1"/>
      <w:numFmt w:val="decimal"/>
      <w:lvlText w:val="%7."/>
      <w:lvlJc w:val="left"/>
      <w:pPr>
        <w:ind w:left="7648" w:hanging="360"/>
      </w:pPr>
    </w:lvl>
    <w:lvl w:ilvl="7" w:tplc="040B0019" w:tentative="1">
      <w:start w:val="1"/>
      <w:numFmt w:val="lowerLetter"/>
      <w:lvlText w:val="%8."/>
      <w:lvlJc w:val="left"/>
      <w:pPr>
        <w:ind w:left="8368" w:hanging="360"/>
      </w:pPr>
    </w:lvl>
    <w:lvl w:ilvl="8" w:tplc="040B001B" w:tentative="1">
      <w:start w:val="1"/>
      <w:numFmt w:val="lowerRoman"/>
      <w:lvlText w:val="%9."/>
      <w:lvlJc w:val="right"/>
      <w:pPr>
        <w:ind w:left="9088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4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130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2B5"/>
    <w:rsid w:val="00016E55"/>
    <w:rsid w:val="00020721"/>
    <w:rsid w:val="0003182E"/>
    <w:rsid w:val="00053D44"/>
    <w:rsid w:val="00060AB3"/>
    <w:rsid w:val="00063ECB"/>
    <w:rsid w:val="00075991"/>
    <w:rsid w:val="00090D7F"/>
    <w:rsid w:val="000B3024"/>
    <w:rsid w:val="000C272A"/>
    <w:rsid w:val="000D3235"/>
    <w:rsid w:val="001050FD"/>
    <w:rsid w:val="001431B7"/>
    <w:rsid w:val="00144D34"/>
    <w:rsid w:val="00147111"/>
    <w:rsid w:val="00150434"/>
    <w:rsid w:val="00155F3B"/>
    <w:rsid w:val="001732D1"/>
    <w:rsid w:val="001776E9"/>
    <w:rsid w:val="001B078B"/>
    <w:rsid w:val="001B257B"/>
    <w:rsid w:val="001E5F86"/>
    <w:rsid w:val="001F483D"/>
    <w:rsid w:val="001F70AF"/>
    <w:rsid w:val="00210152"/>
    <w:rsid w:val="0022091E"/>
    <w:rsid w:val="002373F4"/>
    <w:rsid w:val="00276434"/>
    <w:rsid w:val="00292DED"/>
    <w:rsid w:val="002979F5"/>
    <w:rsid w:val="002A13C4"/>
    <w:rsid w:val="002D31CC"/>
    <w:rsid w:val="002D72CF"/>
    <w:rsid w:val="00307C47"/>
    <w:rsid w:val="003268C9"/>
    <w:rsid w:val="00345C35"/>
    <w:rsid w:val="00346B03"/>
    <w:rsid w:val="00367C90"/>
    <w:rsid w:val="00393411"/>
    <w:rsid w:val="003A2869"/>
    <w:rsid w:val="003B4F86"/>
    <w:rsid w:val="003D2060"/>
    <w:rsid w:val="003F44F2"/>
    <w:rsid w:val="00403291"/>
    <w:rsid w:val="00442AD3"/>
    <w:rsid w:val="00446E3A"/>
    <w:rsid w:val="0047233E"/>
    <w:rsid w:val="004832F3"/>
    <w:rsid w:val="00486BE8"/>
    <w:rsid w:val="00494965"/>
    <w:rsid w:val="004A196F"/>
    <w:rsid w:val="004A22B5"/>
    <w:rsid w:val="004C5212"/>
    <w:rsid w:val="004C6B33"/>
    <w:rsid w:val="004C7DEE"/>
    <w:rsid w:val="005146D4"/>
    <w:rsid w:val="0051596E"/>
    <w:rsid w:val="00547673"/>
    <w:rsid w:val="005512A4"/>
    <w:rsid w:val="00562E6B"/>
    <w:rsid w:val="005834E9"/>
    <w:rsid w:val="0059671F"/>
    <w:rsid w:val="005D17DB"/>
    <w:rsid w:val="00611B98"/>
    <w:rsid w:val="006131C2"/>
    <w:rsid w:val="006464CB"/>
    <w:rsid w:val="006562ED"/>
    <w:rsid w:val="006A4A91"/>
    <w:rsid w:val="006D40F8"/>
    <w:rsid w:val="006D6C2D"/>
    <w:rsid w:val="00722420"/>
    <w:rsid w:val="007614CA"/>
    <w:rsid w:val="0076257D"/>
    <w:rsid w:val="007729CF"/>
    <w:rsid w:val="00783B52"/>
    <w:rsid w:val="00785D97"/>
    <w:rsid w:val="007A21AA"/>
    <w:rsid w:val="007A74D4"/>
    <w:rsid w:val="007B4560"/>
    <w:rsid w:val="007B4E42"/>
    <w:rsid w:val="007C2B22"/>
    <w:rsid w:val="00811D8D"/>
    <w:rsid w:val="008200A9"/>
    <w:rsid w:val="008559F2"/>
    <w:rsid w:val="00885EDF"/>
    <w:rsid w:val="008A0773"/>
    <w:rsid w:val="008A4280"/>
    <w:rsid w:val="008E0F4A"/>
    <w:rsid w:val="00906E49"/>
    <w:rsid w:val="00955EEF"/>
    <w:rsid w:val="009B230C"/>
    <w:rsid w:val="009B6311"/>
    <w:rsid w:val="009D222E"/>
    <w:rsid w:val="00A135F7"/>
    <w:rsid w:val="00A24604"/>
    <w:rsid w:val="00A612FC"/>
    <w:rsid w:val="00A64BD2"/>
    <w:rsid w:val="00A75231"/>
    <w:rsid w:val="00A90735"/>
    <w:rsid w:val="00AA5350"/>
    <w:rsid w:val="00AF2EBD"/>
    <w:rsid w:val="00AF3346"/>
    <w:rsid w:val="00B42986"/>
    <w:rsid w:val="00BE4CA3"/>
    <w:rsid w:val="00BE79A9"/>
    <w:rsid w:val="00BF06A8"/>
    <w:rsid w:val="00C21181"/>
    <w:rsid w:val="00C75940"/>
    <w:rsid w:val="00CB4C78"/>
    <w:rsid w:val="00CC51B3"/>
    <w:rsid w:val="00CD4A95"/>
    <w:rsid w:val="00D00CA5"/>
    <w:rsid w:val="00D05785"/>
    <w:rsid w:val="00D25AD2"/>
    <w:rsid w:val="00D35E49"/>
    <w:rsid w:val="00D44B33"/>
    <w:rsid w:val="00D60C53"/>
    <w:rsid w:val="00D76D7A"/>
    <w:rsid w:val="00D87C57"/>
    <w:rsid w:val="00DC57EE"/>
    <w:rsid w:val="00DE107F"/>
    <w:rsid w:val="00DE217C"/>
    <w:rsid w:val="00E07440"/>
    <w:rsid w:val="00E2160A"/>
    <w:rsid w:val="00E330A7"/>
    <w:rsid w:val="00E37F5D"/>
    <w:rsid w:val="00E44094"/>
    <w:rsid w:val="00EE24B6"/>
    <w:rsid w:val="00F63379"/>
    <w:rsid w:val="00F6702E"/>
    <w:rsid w:val="00F7177D"/>
    <w:rsid w:val="00F734F9"/>
    <w:rsid w:val="00F73B15"/>
    <w:rsid w:val="00FA356E"/>
    <w:rsid w:val="00FA6ACE"/>
    <w:rsid w:val="00FB6ABF"/>
    <w:rsid w:val="00FE1F81"/>
    <w:rsid w:val="00FE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B223BD-D37C-4D4D-B759-BBE70C01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9D222E"/>
    <w:rPr>
      <w:sz w:val="24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rsid w:val="00722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VMNormaaliSisentmtn">
    <w:name w:val="VM_Normaali_Sisentämätön"/>
    <w:qFormat/>
    <w:rsid w:val="009D222E"/>
    <w:rPr>
      <w:sz w:val="24"/>
    </w:rPr>
  </w:style>
  <w:style w:type="paragraph" w:customStyle="1" w:styleId="VMAlatunniste">
    <w:name w:val="VM_Alatunniste"/>
    <w:basedOn w:val="VMNormaaliSisentmtn"/>
    <w:rsid w:val="009D222E"/>
    <w:rPr>
      <w:rFonts w:cs="Arial"/>
      <w:sz w:val="16"/>
      <w:szCs w:val="24"/>
    </w:rPr>
  </w:style>
  <w:style w:type="paragraph" w:customStyle="1" w:styleId="VMAsiakirjanidver">
    <w:name w:val="VM_Asiakirjan id&amp;ver"/>
    <w:basedOn w:val="VMNormaaliSisentmtn"/>
    <w:rsid w:val="009D222E"/>
    <w:rPr>
      <w:sz w:val="14"/>
    </w:rPr>
  </w:style>
  <w:style w:type="paragraph" w:customStyle="1" w:styleId="VMAsiakohta">
    <w:name w:val="VM_Asiakohta"/>
    <w:basedOn w:val="VMNormaaliSisentmtn"/>
    <w:next w:val="Normaali"/>
    <w:rsid w:val="009D222E"/>
    <w:pPr>
      <w:numPr>
        <w:numId w:val="1"/>
      </w:numPr>
      <w:spacing w:before="240" w:after="240"/>
    </w:pPr>
  </w:style>
  <w:style w:type="paragraph" w:customStyle="1" w:styleId="VMleipteksti">
    <w:name w:val="VM_leipäteksti"/>
    <w:basedOn w:val="VMNormaaliSisentmtn"/>
    <w:qFormat/>
    <w:rsid w:val="009D222E"/>
    <w:pPr>
      <w:ind w:left="2608"/>
    </w:pPr>
    <w:rPr>
      <w:szCs w:val="24"/>
    </w:rPr>
  </w:style>
  <w:style w:type="paragraph" w:customStyle="1" w:styleId="VMluettelonumeroin">
    <w:name w:val="VM_luettelo_numeroin"/>
    <w:basedOn w:val="VMleipteksti"/>
    <w:qFormat/>
    <w:rsid w:val="009B230C"/>
    <w:pPr>
      <w:numPr>
        <w:numId w:val="2"/>
      </w:numPr>
      <w:ind w:left="2965" w:hanging="357"/>
    </w:pPr>
  </w:style>
  <w:style w:type="paragraph" w:customStyle="1" w:styleId="VMLuettelonkappaletyyppi">
    <w:name w:val="VM_Luettelon kappaletyyppi"/>
    <w:basedOn w:val="VMleipteksti"/>
    <w:qFormat/>
    <w:rsid w:val="009B230C"/>
    <w:pPr>
      <w:numPr>
        <w:numId w:val="3"/>
      </w:numPr>
      <w:ind w:left="2965" w:hanging="357"/>
    </w:pPr>
  </w:style>
  <w:style w:type="paragraph" w:customStyle="1" w:styleId="VMLuettelotyylipallukka">
    <w:name w:val="VM_Luettelotyyli_pallukka"/>
    <w:basedOn w:val="VMleipteksti"/>
    <w:qFormat/>
    <w:rsid w:val="009D222E"/>
    <w:pPr>
      <w:numPr>
        <w:numId w:val="4"/>
      </w:numPr>
      <w:spacing w:after="120"/>
    </w:pPr>
  </w:style>
  <w:style w:type="paragraph" w:customStyle="1" w:styleId="VMmuistioleipteksti">
    <w:name w:val="VM_muistio_leipäteksti"/>
    <w:basedOn w:val="VMNormaaliSisentmtn"/>
    <w:rsid w:val="009D222E"/>
    <w:pPr>
      <w:ind w:left="1304"/>
    </w:pPr>
  </w:style>
  <w:style w:type="paragraph" w:customStyle="1" w:styleId="VMOtsikko1">
    <w:name w:val="VM_Otsikko 1"/>
    <w:basedOn w:val="VMNormaaliSisentmtn"/>
    <w:next w:val="VMleipteksti"/>
    <w:qFormat/>
    <w:rsid w:val="00722420"/>
    <w:pPr>
      <w:keepNext/>
      <w:spacing w:before="320" w:after="200"/>
      <w:outlineLvl w:val="0"/>
    </w:pPr>
    <w:rPr>
      <w:b/>
      <w:bCs/>
      <w:kern w:val="32"/>
      <w:sz w:val="26"/>
      <w:szCs w:val="32"/>
    </w:rPr>
  </w:style>
  <w:style w:type="paragraph" w:customStyle="1" w:styleId="VMOtsikko2">
    <w:name w:val="VM_Otsikko 2"/>
    <w:basedOn w:val="VMNormaaliSisentmtn"/>
    <w:next w:val="VMleipteksti"/>
    <w:qFormat/>
    <w:rsid w:val="00722420"/>
    <w:pPr>
      <w:spacing w:before="320" w:after="200"/>
      <w:outlineLvl w:val="1"/>
    </w:pPr>
    <w:rPr>
      <w:b/>
    </w:rPr>
  </w:style>
  <w:style w:type="paragraph" w:customStyle="1" w:styleId="VMOtsikko3">
    <w:name w:val="VM_Otsikko 3"/>
    <w:basedOn w:val="VMNormaaliSisentmtn"/>
    <w:next w:val="VMleipteksti"/>
    <w:qFormat/>
    <w:rsid w:val="00722420"/>
    <w:pPr>
      <w:spacing w:before="320" w:after="200"/>
      <w:outlineLvl w:val="2"/>
    </w:pPr>
    <w:rPr>
      <w:i/>
    </w:rPr>
  </w:style>
  <w:style w:type="paragraph" w:customStyle="1" w:styleId="VMOtsikkonum1">
    <w:name w:val="VM_Otsikko_num 1"/>
    <w:basedOn w:val="VMOtsikko1"/>
    <w:next w:val="VMleipteksti"/>
    <w:qFormat/>
    <w:rsid w:val="00722420"/>
    <w:pPr>
      <w:numPr>
        <w:numId w:val="8"/>
      </w:numPr>
      <w:ind w:left="227" w:hanging="227"/>
    </w:pPr>
  </w:style>
  <w:style w:type="paragraph" w:customStyle="1" w:styleId="VMOtsikkonum2">
    <w:name w:val="VM_Otsikko_num 2"/>
    <w:next w:val="VMleipteksti"/>
    <w:qFormat/>
    <w:rsid w:val="00722420"/>
    <w:pPr>
      <w:numPr>
        <w:ilvl w:val="1"/>
        <w:numId w:val="8"/>
      </w:numPr>
      <w:spacing w:before="320" w:after="200"/>
      <w:ind w:left="397" w:hanging="397"/>
      <w:outlineLvl w:val="1"/>
    </w:pPr>
    <w:rPr>
      <w:b/>
      <w:sz w:val="24"/>
    </w:rPr>
  </w:style>
  <w:style w:type="paragraph" w:customStyle="1" w:styleId="VMOtsikkonum3">
    <w:name w:val="VM_Otsikko_num 3"/>
    <w:basedOn w:val="VMOtsikko3"/>
    <w:next w:val="VMleipteksti"/>
    <w:qFormat/>
    <w:rsid w:val="00722420"/>
    <w:pPr>
      <w:numPr>
        <w:ilvl w:val="2"/>
        <w:numId w:val="8"/>
      </w:numPr>
      <w:ind w:left="567" w:hanging="567"/>
    </w:pPr>
  </w:style>
  <w:style w:type="paragraph" w:customStyle="1" w:styleId="VMRiippuva">
    <w:name w:val="VM_Riippuva"/>
    <w:basedOn w:val="VMNormaaliSisentmtn"/>
    <w:next w:val="VMleipteksti"/>
    <w:qFormat/>
    <w:rsid w:val="009D222E"/>
    <w:pPr>
      <w:ind w:left="2608" w:hanging="2608"/>
    </w:pPr>
  </w:style>
  <w:style w:type="paragraph" w:customStyle="1" w:styleId="VMYltunniste">
    <w:name w:val="VM_Ylätunniste"/>
    <w:basedOn w:val="VMNormaaliSisentmtn"/>
    <w:qFormat/>
    <w:rsid w:val="009D222E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</w:pPr>
    <w:rPr>
      <w:szCs w:val="24"/>
    </w:rPr>
  </w:style>
  <w:style w:type="paragraph" w:styleId="Alatunniste">
    <w:name w:val="footer"/>
    <w:basedOn w:val="Normaali"/>
    <w:link w:val="AlatunnisteChar"/>
    <w:uiPriority w:val="99"/>
    <w:unhideWhenUsed/>
    <w:rsid w:val="008E0F4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E0F4A"/>
    <w:rPr>
      <w:sz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B4C7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4C78"/>
    <w:rPr>
      <w:rFonts w:ascii="Tahoma" w:hAnsi="Tahoma" w:cs="Tahoma"/>
      <w:sz w:val="16"/>
      <w:szCs w:val="16"/>
      <w:lang w:eastAsia="en-US"/>
    </w:rPr>
  </w:style>
  <w:style w:type="character" w:customStyle="1" w:styleId="Otsikko1Char">
    <w:name w:val="Otsikko 1 Char"/>
    <w:basedOn w:val="Kappaleenoletusfontti"/>
    <w:link w:val="Otsikko1"/>
    <w:uiPriority w:val="9"/>
    <w:rsid w:val="00722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Yltunniste">
    <w:name w:val="header"/>
    <w:basedOn w:val="Normaali"/>
    <w:link w:val="YltunnisteChar"/>
    <w:unhideWhenUsed/>
    <w:rsid w:val="009B631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9B6311"/>
    <w:rPr>
      <w:sz w:val="24"/>
      <w:lang w:eastAsia="en-US"/>
    </w:rPr>
  </w:style>
  <w:style w:type="paragraph" w:styleId="Luettelokappale">
    <w:name w:val="List Paragraph"/>
    <w:basedOn w:val="Normaali"/>
    <w:uiPriority w:val="34"/>
    <w:rsid w:val="004A22B5"/>
    <w:pPr>
      <w:ind w:left="720"/>
      <w:contextualSpacing/>
    </w:pPr>
  </w:style>
  <w:style w:type="paragraph" w:styleId="Leipteksti">
    <w:name w:val="Body Text"/>
    <w:basedOn w:val="Normaali"/>
    <w:link w:val="LeiptekstiChar"/>
    <w:qFormat/>
    <w:rsid w:val="006562ED"/>
    <w:pPr>
      <w:ind w:left="2608"/>
    </w:pPr>
    <w:rPr>
      <w:rFonts w:asciiTheme="minorHAnsi" w:hAnsiTheme="minorHAnsi"/>
      <w:sz w:val="22"/>
      <w:lang w:eastAsia="fi-FI"/>
    </w:rPr>
  </w:style>
  <w:style w:type="character" w:customStyle="1" w:styleId="LeiptekstiChar">
    <w:name w:val="Leipäteksti Char"/>
    <w:basedOn w:val="Kappaleenoletusfontti"/>
    <w:link w:val="Leipteksti"/>
    <w:rsid w:val="006562ED"/>
    <w:rPr>
      <w:rFonts w:asciiTheme="minorHAnsi" w:hAnsiTheme="minorHAnsi"/>
      <w:sz w:val="22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3F44F2"/>
    <w:pPr>
      <w:spacing w:after="200"/>
      <w:ind w:left="1134"/>
    </w:pPr>
    <w:rPr>
      <w:rFonts w:asciiTheme="minorHAnsi" w:eastAsiaTheme="minorHAnsi" w:hAnsiTheme="minorHAnsi" w:cstheme="minorHAnsi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1463</Words>
  <Characters>11856</Characters>
  <Application>Microsoft Office Word</Application>
  <DocSecurity>0</DocSecurity>
  <Lines>98</Lines>
  <Paragraphs>26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valtion</Company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Vuorela Katariina</dc:creator>
  <cp:keywords/>
  <dc:description/>
  <cp:lastModifiedBy>Wirén Sini</cp:lastModifiedBy>
  <cp:revision>2</cp:revision>
  <cp:lastPrinted>2018-09-13T14:55:00Z</cp:lastPrinted>
  <dcterms:created xsi:type="dcterms:W3CDTF">2018-09-17T12:41:00Z</dcterms:created>
  <dcterms:modified xsi:type="dcterms:W3CDTF">2018-09-17T12:41:00Z</dcterms:modified>
</cp:coreProperties>
</file>