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F3" w:rsidRDefault="00D06BF3" w:rsidP="00D06BF3">
      <w:pPr>
        <w:spacing w:line="360" w:lineRule="auto"/>
        <w:rPr>
          <w:b/>
          <w:bCs/>
          <w:color w:val="FF0000"/>
          <w:szCs w:val="24"/>
        </w:rPr>
      </w:pPr>
      <w:bookmarkStart w:id="0" w:name="_GoBack"/>
      <w:bookmarkEnd w:id="0"/>
    </w:p>
    <w:p w:rsidR="00D06BF3" w:rsidRDefault="00D06BF3" w:rsidP="00D06BF3">
      <w:pPr>
        <w:spacing w:line="360" w:lineRule="auto"/>
        <w:rPr>
          <w:b/>
          <w:bCs/>
          <w:szCs w:val="24"/>
        </w:rPr>
      </w:pPr>
      <w:r>
        <w:rPr>
          <w:b/>
          <w:bCs/>
          <w:color w:val="FF0000"/>
          <w:szCs w:val="24"/>
        </w:rPr>
        <w:t>UTKAST</w:t>
      </w:r>
      <w:r>
        <w:rPr>
          <w:b/>
          <w:bCs/>
          <w:szCs w:val="24"/>
        </w:rPr>
        <w:t xml:space="preserve">                  </w:t>
      </w:r>
    </w:p>
    <w:p w:rsidR="00D06BF3" w:rsidRDefault="00D06BF3" w:rsidP="00D06BF3">
      <w:pPr>
        <w:spacing w:line="360" w:lineRule="auto"/>
        <w:rPr>
          <w:b/>
          <w:bCs/>
          <w:szCs w:val="24"/>
        </w:rPr>
      </w:pPr>
    </w:p>
    <w:p w:rsidR="00D06BF3" w:rsidRPr="00D06BF3" w:rsidRDefault="00D06BF3" w:rsidP="00D06BF3">
      <w:pPr>
        <w:spacing w:line="360" w:lineRule="auto"/>
        <w:rPr>
          <w:b/>
          <w:bCs/>
          <w:szCs w:val="24"/>
        </w:rPr>
      </w:pPr>
      <w:r>
        <w:rPr>
          <w:b/>
          <w:bCs/>
          <w:szCs w:val="24"/>
        </w:rPr>
        <w:t>Statsrådets förordning</w:t>
      </w:r>
    </w:p>
    <w:p w:rsidR="00D06BF3" w:rsidRPr="00D06BF3" w:rsidRDefault="00D06BF3" w:rsidP="00D06BF3">
      <w:pPr>
        <w:spacing w:line="360" w:lineRule="auto"/>
        <w:rPr>
          <w:b/>
          <w:bCs/>
          <w:szCs w:val="24"/>
        </w:rPr>
      </w:pPr>
      <w:r>
        <w:rPr>
          <w:b/>
          <w:bCs/>
          <w:szCs w:val="24"/>
        </w:rPr>
        <w:t xml:space="preserve">om enskilda vägar </w:t>
      </w:r>
    </w:p>
    <w:p w:rsidR="00D06BF3" w:rsidRPr="00D06BF3" w:rsidRDefault="00D06BF3" w:rsidP="00D06BF3">
      <w:pPr>
        <w:spacing w:line="360" w:lineRule="auto"/>
        <w:ind w:left="2608"/>
        <w:rPr>
          <w:bCs/>
          <w:szCs w:val="24"/>
        </w:rPr>
      </w:pPr>
    </w:p>
    <w:p w:rsidR="00D06BF3" w:rsidRPr="00D06BF3" w:rsidRDefault="00D06BF3" w:rsidP="00D06BF3">
      <w:pPr>
        <w:spacing w:line="360" w:lineRule="auto"/>
        <w:rPr>
          <w:szCs w:val="24"/>
        </w:rPr>
      </w:pPr>
      <w:r>
        <w:t>I enlighet med statsrådets beslut föreskrivs med stöd av 82, 83 och 89 § i lagen om enskilda vägar (560/2018):</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1 § </w:t>
      </w:r>
      <w:r>
        <w:rPr>
          <w:i/>
          <w:iCs/>
        </w:rPr>
        <w:t>Förvaltning av fastighetsdatasystemet</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Väglagets verkställande organ ska utan dröjsmål anmäla ändringar av de uppgifter som avses i 89 § 3 mom. i lagen om enskilda vägar (560/2018) till Lantmäteriverket.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Kommunen ska meddela fastighetsregisterföraren om de beslut genom vilka en enskild väg eller en del av en enskild väg upphör i det fall som avses i 13 § 1 mom. i lagen om enskilda vägar.</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2 § </w:t>
      </w:r>
      <w:r>
        <w:rPr>
          <w:i/>
          <w:iCs/>
        </w:rPr>
        <w:t>Statsunderstöd för väghållning</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Statsunderstöd för underhåll av en enskild väg ska inom ramen för anslaget beviljas i första hand för förbättring av enskilda vägar när en i 3 § 1 mom. 9 punkten i lagen om enskilda vägar avsedd väg, därtill hörande områden samt konstruktioner och anordningar, särskilt broar, har skadats, om arbetena kan anses utgöra byggande.</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3 § </w:t>
      </w:r>
      <w:r>
        <w:rPr>
          <w:i/>
          <w:iCs/>
        </w:rPr>
        <w:t>Statsunderstöd för byggande</w:t>
      </w:r>
      <w:r>
        <w:t xml:space="preserve">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Statsunderstöd för byggande av en enskild väg ska sökas hos närings-, trafik- och miljöcentralen i god tid innan arbetena inleds. Till ansökan ska fogas en plan över byggnadsarbetena och ett kostnadsförslag samt ett protokollsutdrag från den förrättning eller det möte vid vilket väglaget har bildats eller en kopia av fastighetsregisterförarens beslut genom vilket väglaget har bildats samt ett bevis över de uppdaterade uppgifter enligt 50 § i lagen om enskilda vägar som finns i registret över enskilda vägar och i informationssystemet för väg- och gatunätet.</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lastRenderedPageBreak/>
        <w:t xml:space="preserve">Understödsprocenten, betalningstidtabellen för understödet och eventuella villkor för utförande av arbetet fastställs i närings-, trafik- och miljöcentralens understödsbeslut. Understöd betalas inte utan särskilt skäl för sådana arbeten som har utförts före understödsbeslutet utan närings-, trafik- och miljöcentralens tillstånd.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Närings-, trafik- och miljöcentralernas samt arbets- och näringsbyråernas utvecklings- och förvaltningscenter betalar in statsunderstödet på det bankkonto som väglaget uppger i enlighet med understödsbeslutet.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4 § </w:t>
      </w:r>
      <w:r>
        <w:rPr>
          <w:i/>
          <w:iCs/>
        </w:rPr>
        <w:t>Statsunderstöd för underhåll</w:t>
      </w:r>
      <w:r>
        <w:t xml:space="preserve">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Ansökan om statsunderstöd för underhåll av en enskild väg ska lämnas in till den behöriga närings-, trafik- och miljöcentralen senast i augusti året före det kalenderår från vars början understöd söks. Till ansökan ska fogas ett protokollsutdrag från den förrättning eller det möte vid vilket väglaget har bildats eller en kopia av fastighetsregisterförarens beslut genom vilket väglaget har bildats samt ett bevis över de uppdaterade uppgifter enligt 50 § i lagen om enskilda vägar som finns i registret över enskilda vägar och i informationssystemet för väg- och gatunätet.</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Närings-, trafik- och miljöcentralen fattar beslut om ansökan om statsunderstöd före utgången av det år då ansökan har lämnats in.</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Närings-, trafik- och miljöcentralernas samt arbets- och näringsbyråernas utvecklings- och förvaltningscenter betalar in statsunderstödet på det bankkonto som väglaget uppger, om möjligt senast inom december under underhållsåret.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5 § </w:t>
      </w:r>
      <w:r>
        <w:rPr>
          <w:i/>
          <w:iCs/>
        </w:rPr>
        <w:t>Statsunderstöd för särskilda objekt</w:t>
      </w:r>
      <w:r>
        <w:t xml:space="preserve">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 xml:space="preserve">I fråga om ett färjeläge, en bro som årligen monteras ner och en vinterväg ska statsunderstöd inom ramen för understödsanslaget beviljas i första hand för enskilda vägar som betjänar fast bosättning. </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I fråga om ett färjeläge och en bro som årligen monteras ner är understödets maximibelopp 80 procent och i fråga om en vinterväg 65 procent av de godtagbara faktiska drifts- och underhållskostnaderna.</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lastRenderedPageBreak/>
        <w:t>Väglag kan av de statsunderstöd som beviljas för underhåll av färjelägen och för broar som årligen monteras ner betalas ett förskott på högst 80 procent av de faktiska kostnaderna för det föregående året. Närings-, trafik- och miljöcentralernas samt arbets- och näringsbyråernas utvecklings- och förvaltningscenter betalar senast inom maj in understöden för färjelägen, broar som monteras ner och vintervägar samt eventuella förskott på det bankkonto som väglaget uppger.</w:t>
      </w:r>
    </w:p>
    <w:p w:rsidR="00D06BF3" w:rsidRPr="00D06BF3" w:rsidRDefault="00D06BF3" w:rsidP="00D06BF3">
      <w:pPr>
        <w:spacing w:line="360" w:lineRule="auto"/>
        <w:rPr>
          <w:szCs w:val="24"/>
        </w:rPr>
      </w:pPr>
      <w:r>
        <w:t xml:space="preserve"> </w:t>
      </w:r>
    </w:p>
    <w:p w:rsidR="00D06BF3" w:rsidRPr="00D06BF3" w:rsidRDefault="00D06BF3" w:rsidP="00D06BF3">
      <w:pPr>
        <w:spacing w:line="360" w:lineRule="auto"/>
        <w:rPr>
          <w:szCs w:val="24"/>
        </w:rPr>
      </w:pPr>
      <w:r>
        <w:t>Väglaget ska senast före utgången av februari följande år lämna närings-, trafik- och miljöcentralen utredning om underhållsårets kostnader för färjelägen, broar som årligen monteras ner och vintervägar. Om det är fråga om ett nytt färjeläge ska ansökan om statsunderstöd för färjeläget lämnas in till den behöriga närings-, trafik- och miljöcentralen senast i augusti året före det kalenderår från vars början understöd söks.</w:t>
      </w:r>
    </w:p>
    <w:p w:rsidR="00D06BF3" w:rsidRPr="00D06BF3" w:rsidRDefault="00D06BF3" w:rsidP="00D06BF3">
      <w:pPr>
        <w:spacing w:line="360" w:lineRule="auto"/>
        <w:rPr>
          <w:szCs w:val="24"/>
        </w:rPr>
      </w:pPr>
    </w:p>
    <w:p w:rsidR="00D06BF3" w:rsidRPr="00D06BF3" w:rsidRDefault="00D06BF3" w:rsidP="00D06BF3">
      <w:pPr>
        <w:spacing w:line="360" w:lineRule="auto"/>
        <w:rPr>
          <w:i/>
          <w:szCs w:val="24"/>
        </w:rPr>
      </w:pPr>
      <w:r>
        <w:t xml:space="preserve">6 § </w:t>
      </w:r>
      <w:r>
        <w:rPr>
          <w:i/>
          <w:szCs w:val="24"/>
        </w:rPr>
        <w:t>Ikraftträdande</w:t>
      </w:r>
    </w:p>
    <w:p w:rsidR="00D06BF3" w:rsidRPr="00D06BF3" w:rsidRDefault="00D06BF3" w:rsidP="00D06BF3">
      <w:pPr>
        <w:spacing w:line="360" w:lineRule="auto"/>
        <w:rPr>
          <w:szCs w:val="24"/>
        </w:rPr>
      </w:pPr>
    </w:p>
    <w:p w:rsidR="00D06BF3" w:rsidRPr="00D06BF3" w:rsidRDefault="00D06BF3" w:rsidP="00D06BF3">
      <w:pPr>
        <w:spacing w:line="360" w:lineRule="auto"/>
        <w:rPr>
          <w:szCs w:val="24"/>
        </w:rPr>
      </w:pPr>
      <w:r>
        <w:t>Denna förordning träder i kraft den 1 januari 2019.</w:t>
      </w:r>
    </w:p>
    <w:p w:rsidR="00D06BF3" w:rsidRPr="00D06BF3" w:rsidRDefault="00D06BF3" w:rsidP="00D06BF3">
      <w:pPr>
        <w:spacing w:line="360" w:lineRule="auto"/>
        <w:rPr>
          <w:color w:val="FF0000"/>
          <w:szCs w:val="24"/>
        </w:rPr>
      </w:pPr>
    </w:p>
    <w:p w:rsidR="00D06BF3" w:rsidRPr="00D06BF3" w:rsidRDefault="00D06BF3" w:rsidP="00D06BF3">
      <w:pPr>
        <w:spacing w:line="360" w:lineRule="auto"/>
        <w:rPr>
          <w:szCs w:val="24"/>
        </w:rPr>
      </w:pPr>
    </w:p>
    <w:p w:rsidR="00E40C04" w:rsidRPr="00D06BF3" w:rsidRDefault="00E40C04" w:rsidP="00D06BF3">
      <w:pPr>
        <w:spacing w:line="360" w:lineRule="auto"/>
        <w:rPr>
          <w:szCs w:val="24"/>
        </w:rPr>
      </w:pPr>
    </w:p>
    <w:sectPr w:rsidR="00E40C04" w:rsidRPr="00D06BF3" w:rsidSect="00562E6B">
      <w:headerReference w:type="even" r:id="rId6"/>
      <w:headerReference w:type="default" r:id="rId7"/>
      <w:footerReference w:type="even" r:id="rId8"/>
      <w:footerReference w:type="default" r:id="rId9"/>
      <w:headerReference w:type="first" r:id="rId10"/>
      <w:foot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F6" w:rsidRDefault="003D32F6" w:rsidP="00D06BF3">
      <w:r>
        <w:separator/>
      </w:r>
    </w:p>
  </w:endnote>
  <w:endnote w:type="continuationSeparator" w:id="0">
    <w:p w:rsidR="003D32F6" w:rsidRDefault="003D32F6" w:rsidP="00D0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BF3" w:rsidRDefault="00D06BF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3D32F6"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BF3" w:rsidRDefault="00D06BF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F6" w:rsidRDefault="003D32F6" w:rsidP="00D06BF3">
      <w:r>
        <w:separator/>
      </w:r>
    </w:p>
  </w:footnote>
  <w:footnote w:type="continuationSeparator" w:id="0">
    <w:p w:rsidR="003D32F6" w:rsidRDefault="003D32F6" w:rsidP="00D0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BF3" w:rsidRDefault="00D06BF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4A" w:rsidRPr="00D06BF3" w:rsidRDefault="003D32F6" w:rsidP="00D06BF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8" w:rsidRPr="00D06BF3" w:rsidRDefault="003D32F6" w:rsidP="00D06BF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F3"/>
    <w:rsid w:val="000160F9"/>
    <w:rsid w:val="003D32F6"/>
    <w:rsid w:val="009E5C6D"/>
    <w:rsid w:val="00B115EA"/>
    <w:rsid w:val="00B8151D"/>
    <w:rsid w:val="00D04BEC"/>
    <w:rsid w:val="00D06BF3"/>
    <w:rsid w:val="00E40C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D06BF3"/>
    <w:rPr>
      <w:sz w:val="24"/>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styleId="Alatunniste">
    <w:name w:val="footer"/>
    <w:basedOn w:val="Normaali"/>
    <w:link w:val="AlatunnisteChar"/>
    <w:uiPriority w:val="99"/>
    <w:unhideWhenUsed/>
    <w:rsid w:val="00D06BF3"/>
    <w:pPr>
      <w:tabs>
        <w:tab w:val="center" w:pos="4819"/>
        <w:tab w:val="right" w:pos="9638"/>
      </w:tabs>
    </w:pPr>
  </w:style>
  <w:style w:type="character" w:customStyle="1" w:styleId="AlatunnisteChar">
    <w:name w:val="Alatunniste Char"/>
    <w:basedOn w:val="Kappaleenoletusfontti"/>
    <w:link w:val="Alatunniste"/>
    <w:uiPriority w:val="99"/>
    <w:rsid w:val="00D06BF3"/>
    <w:rPr>
      <w:sz w:val="24"/>
      <w:lang w:eastAsia="en-US"/>
    </w:rPr>
  </w:style>
  <w:style w:type="paragraph" w:styleId="Yltunniste">
    <w:name w:val="header"/>
    <w:basedOn w:val="Normaali"/>
    <w:link w:val="YltunnisteChar"/>
    <w:uiPriority w:val="99"/>
    <w:unhideWhenUsed/>
    <w:rsid w:val="00D06BF3"/>
    <w:pPr>
      <w:tabs>
        <w:tab w:val="center" w:pos="4819"/>
        <w:tab w:val="right" w:pos="9638"/>
      </w:tabs>
    </w:pPr>
  </w:style>
  <w:style w:type="character" w:customStyle="1" w:styleId="YltunnisteChar">
    <w:name w:val="Ylätunniste Char"/>
    <w:basedOn w:val="Kappaleenoletusfontti"/>
    <w:link w:val="Yltunniste"/>
    <w:uiPriority w:val="99"/>
    <w:rsid w:val="00D06BF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3996</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2018-10-08T08:49:00Z</dcterms:created>
  <dcterms:modified xsi:type="dcterms:W3CDTF">2018-10-08T08:49:00Z</dcterms:modified>
</cp:coreProperties>
</file>