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86" w:rsidRDefault="0023316D" w:rsidP="0023316D">
      <w:pPr>
        <w:pStyle w:val="Leipteksti"/>
        <w:tabs>
          <w:tab w:val="left" w:pos="5245"/>
        </w:tabs>
        <w:ind w:left="0"/>
      </w:pPr>
      <w:bookmarkStart w:id="0" w:name="_GoBack"/>
      <w:bookmarkEnd w:id="0"/>
      <w:r>
        <w:tab/>
        <w:t>LUONNOS</w:t>
      </w:r>
      <w:r w:rsidR="00581B1F">
        <w:t xml:space="preserve"> 2 MÄÄRÄYS STUK S/12/2018</w:t>
      </w:r>
    </w:p>
    <w:p w:rsidR="00D2481B" w:rsidRDefault="00D2481B" w:rsidP="0023316D">
      <w:pPr>
        <w:pStyle w:val="Leipteksti"/>
        <w:ind w:left="0"/>
      </w:pPr>
    </w:p>
    <w:p w:rsidR="00D2481B" w:rsidRPr="00604F2D" w:rsidRDefault="009A7FD7" w:rsidP="00604F2D">
      <w:pPr>
        <w:pStyle w:val="Otsikko1"/>
        <w:jc w:val="center"/>
        <w:rPr>
          <w:rFonts w:eastAsiaTheme="minorHAnsi"/>
          <w:color w:val="0070C0"/>
          <w:sz w:val="32"/>
          <w:szCs w:val="32"/>
        </w:rPr>
      </w:pPr>
      <w:r w:rsidRPr="00604F2D">
        <w:rPr>
          <w:rFonts w:eastAsiaTheme="minorHAnsi"/>
          <w:color w:val="0070C0"/>
          <w:sz w:val="32"/>
          <w:szCs w:val="32"/>
        </w:rPr>
        <w:t>Säteilyturvakeskuksen m</w:t>
      </w:r>
      <w:r w:rsidR="00C61808" w:rsidRPr="00604F2D">
        <w:rPr>
          <w:rFonts w:eastAsiaTheme="minorHAnsi"/>
          <w:color w:val="0070C0"/>
          <w:sz w:val="32"/>
          <w:szCs w:val="32"/>
        </w:rPr>
        <w:t>ääräys</w:t>
      </w:r>
      <w:r w:rsidR="0088386F" w:rsidRPr="00604F2D">
        <w:rPr>
          <w:rFonts w:eastAsiaTheme="minorHAnsi"/>
          <w:color w:val="0070C0"/>
          <w:sz w:val="32"/>
          <w:szCs w:val="32"/>
        </w:rPr>
        <w:t xml:space="preserve"> ionisoimattoman säteilyn käytöstä</w:t>
      </w:r>
      <w:r w:rsidR="00F46C83" w:rsidRPr="00604F2D">
        <w:rPr>
          <w:rFonts w:eastAsiaTheme="minorHAnsi"/>
          <w:color w:val="0070C0"/>
          <w:sz w:val="32"/>
          <w:szCs w:val="32"/>
        </w:rPr>
        <w:t xml:space="preserve"> </w:t>
      </w:r>
      <w:r w:rsidR="0088386F" w:rsidRPr="00604F2D">
        <w:rPr>
          <w:rFonts w:eastAsiaTheme="minorHAnsi"/>
          <w:color w:val="0070C0"/>
          <w:sz w:val="32"/>
          <w:szCs w:val="32"/>
        </w:rPr>
        <w:t xml:space="preserve">kosmeettisessa </w:t>
      </w:r>
      <w:r w:rsidR="00F46C83" w:rsidRPr="00604F2D">
        <w:rPr>
          <w:rFonts w:eastAsiaTheme="minorHAnsi"/>
          <w:color w:val="0070C0"/>
          <w:sz w:val="32"/>
          <w:szCs w:val="32"/>
        </w:rPr>
        <w:t xml:space="preserve">tai siihen </w:t>
      </w:r>
      <w:r w:rsidR="0088386F" w:rsidRPr="00604F2D">
        <w:rPr>
          <w:rFonts w:eastAsiaTheme="minorHAnsi"/>
          <w:color w:val="0070C0"/>
          <w:sz w:val="32"/>
          <w:szCs w:val="32"/>
        </w:rPr>
        <w:t>verrattavassa toimenpiteessä</w:t>
      </w:r>
    </w:p>
    <w:p w:rsidR="008200B1" w:rsidRDefault="008200B1" w:rsidP="008200B1">
      <w:r w:rsidRPr="00E00A4D">
        <w:t>Säteilyturvakeskuksen päätöksen mukaisest</w:t>
      </w:r>
      <w:r>
        <w:t>i määrätään säteilylain ( / ) 162 §:n 3</w:t>
      </w:r>
      <w:r w:rsidRPr="00E00A4D">
        <w:t xml:space="preserve"> momentin nojalla:</w:t>
      </w:r>
    </w:p>
    <w:p w:rsidR="0088386F" w:rsidRPr="0088386F" w:rsidRDefault="0088386F" w:rsidP="00925028">
      <w:pPr>
        <w:pStyle w:val="Leipteksti"/>
        <w:ind w:left="0"/>
      </w:pPr>
    </w:p>
    <w:p w:rsidR="00D2481B" w:rsidRDefault="00C25E11" w:rsidP="00D2481B">
      <w:pPr>
        <w:jc w:val="center"/>
      </w:pPr>
      <w:r>
        <w:t xml:space="preserve">1 </w:t>
      </w:r>
      <w:r w:rsidR="00D2481B">
        <w:t>§</w:t>
      </w:r>
    </w:p>
    <w:p w:rsidR="00D2481B" w:rsidRDefault="00D2481B" w:rsidP="00D2481B">
      <w:pPr>
        <w:jc w:val="center"/>
        <w:rPr>
          <w:i/>
        </w:rPr>
      </w:pPr>
      <w:r>
        <w:rPr>
          <w:i/>
        </w:rPr>
        <w:t>Soveltamisala</w:t>
      </w:r>
    </w:p>
    <w:p w:rsidR="00D2481B" w:rsidRDefault="00D2481B" w:rsidP="00D2481B"/>
    <w:p w:rsidR="00D2481B" w:rsidRPr="0099080F" w:rsidRDefault="00D2481B" w:rsidP="00D2481B">
      <w:r>
        <w:t>Tätä määräystä sov</w:t>
      </w:r>
      <w:r w:rsidR="009A7FD7">
        <w:t>elletaan säteilylain (  /  ) 162</w:t>
      </w:r>
      <w:r>
        <w:t xml:space="preserve"> §:ssä tarkoitettuun </w:t>
      </w:r>
      <w:r w:rsidR="000E54B2">
        <w:t>toimenpiteeseen</w:t>
      </w:r>
      <w:r w:rsidR="0088386F">
        <w:t>, joka suoritetaan muualla kuin potilaan asemasta ja oikeuksista annetussa laissa (785/1992) tarkoitetussa terveyde</w:t>
      </w:r>
      <w:r w:rsidR="0088386F">
        <w:t>n</w:t>
      </w:r>
      <w:r w:rsidR="0088386F">
        <w:t>huollon toimintayksikössä</w:t>
      </w:r>
      <w:r>
        <w:t>.</w:t>
      </w:r>
    </w:p>
    <w:p w:rsidR="00D2481B" w:rsidRDefault="00D2481B" w:rsidP="00D2481B"/>
    <w:p w:rsidR="000E54B2" w:rsidRDefault="00C25E11" w:rsidP="00292F37">
      <w:pPr>
        <w:jc w:val="center"/>
      </w:pPr>
      <w:r>
        <w:t>2</w:t>
      </w:r>
      <w:r w:rsidR="000E54B2">
        <w:t xml:space="preserve"> §</w:t>
      </w:r>
    </w:p>
    <w:p w:rsidR="000E54B2" w:rsidRDefault="000E54B2" w:rsidP="00292F37">
      <w:pPr>
        <w:jc w:val="center"/>
        <w:rPr>
          <w:i/>
        </w:rPr>
      </w:pPr>
      <w:r w:rsidRPr="00292F37">
        <w:rPr>
          <w:i/>
        </w:rPr>
        <w:t>Altistuksen määritys</w:t>
      </w:r>
    </w:p>
    <w:p w:rsidR="000E54B2" w:rsidRPr="00292F37" w:rsidRDefault="000E54B2" w:rsidP="00D2481B">
      <w:pPr>
        <w:rPr>
          <w:i/>
        </w:rPr>
      </w:pPr>
    </w:p>
    <w:p w:rsidR="0088386F" w:rsidRDefault="0088386F" w:rsidP="000E54B2">
      <w:r>
        <w:t xml:space="preserve">Toiminnanharjoittajan on määritettävä </w:t>
      </w:r>
      <w:r w:rsidR="00DE6B16">
        <w:t xml:space="preserve">luotettavalla menetelmällä </w:t>
      </w:r>
      <w:r w:rsidR="00A37534">
        <w:t>toimenpiteistä</w:t>
      </w:r>
      <w:r>
        <w:t xml:space="preserve"> </w:t>
      </w:r>
      <w:r w:rsidR="006C322B">
        <w:t>iholle</w:t>
      </w:r>
      <w:r w:rsidR="0036489F">
        <w:t xml:space="preserve"> </w:t>
      </w:r>
      <w:r w:rsidR="006C4D0F">
        <w:t>ja</w:t>
      </w:r>
      <w:r w:rsidR="006C322B">
        <w:t xml:space="preserve"> </w:t>
      </w:r>
      <w:r w:rsidR="00A37534">
        <w:t xml:space="preserve">muulle </w:t>
      </w:r>
      <w:r w:rsidR="006C322B">
        <w:t>k</w:t>
      </w:r>
      <w:r w:rsidR="006C322B">
        <w:t>u</w:t>
      </w:r>
      <w:r w:rsidR="006C322B">
        <w:t xml:space="preserve">dokselle </w:t>
      </w:r>
      <w:r>
        <w:t>aiheutuva</w:t>
      </w:r>
      <w:r w:rsidR="000E54B2">
        <w:t xml:space="preserve"> </w:t>
      </w:r>
      <w:r w:rsidR="001F3610">
        <w:t>altistus</w:t>
      </w:r>
      <w:r w:rsidR="00E54BD5">
        <w:t xml:space="preserve"> ennen laitteen käyttöönottoa</w:t>
      </w:r>
      <w:r w:rsidR="000E54B2">
        <w:t>.</w:t>
      </w:r>
    </w:p>
    <w:p w:rsidR="00925028" w:rsidRDefault="00925028" w:rsidP="000E54B2"/>
    <w:p w:rsidR="000E54B2" w:rsidRDefault="00A35CE1" w:rsidP="00292F37">
      <w:pPr>
        <w:jc w:val="center"/>
      </w:pPr>
      <w:r>
        <w:t>3</w:t>
      </w:r>
      <w:r w:rsidR="000E54B2">
        <w:t xml:space="preserve"> §</w:t>
      </w:r>
    </w:p>
    <w:p w:rsidR="000E54B2" w:rsidRDefault="00684DD3" w:rsidP="00292F37">
      <w:pPr>
        <w:jc w:val="center"/>
        <w:rPr>
          <w:i/>
        </w:rPr>
      </w:pPr>
      <w:r>
        <w:rPr>
          <w:i/>
        </w:rPr>
        <w:t>Vasta-aiheiden</w:t>
      </w:r>
      <w:r w:rsidR="000E54B2">
        <w:rPr>
          <w:i/>
        </w:rPr>
        <w:t xml:space="preserve"> huomioiminen</w:t>
      </w:r>
    </w:p>
    <w:p w:rsidR="000E54B2" w:rsidRDefault="000E54B2" w:rsidP="000E54B2"/>
    <w:p w:rsidR="00D312FF" w:rsidRDefault="0088386F" w:rsidP="000E54B2">
      <w:r>
        <w:t xml:space="preserve">Toiminnanharjoittajan on </w:t>
      </w:r>
      <w:r w:rsidR="004E2AD9">
        <w:t xml:space="preserve">ennen laitteen </w:t>
      </w:r>
      <w:r w:rsidR="001E600A">
        <w:t>käyttöönottoa</w:t>
      </w:r>
      <w:r w:rsidR="004E2AD9">
        <w:t xml:space="preserve"> </w:t>
      </w:r>
      <w:r w:rsidR="00560510">
        <w:t xml:space="preserve">kirjallisesti </w:t>
      </w:r>
      <w:r>
        <w:t>määriteltävä</w:t>
      </w:r>
      <w:r w:rsidR="004E2AD9">
        <w:t xml:space="preserve"> </w:t>
      </w:r>
      <w:r w:rsidR="00EF0548">
        <w:t>tervey</w:t>
      </w:r>
      <w:r w:rsidR="00BE3AD2">
        <w:t>dentilaan</w:t>
      </w:r>
      <w:r w:rsidR="00EF0548">
        <w:t xml:space="preserve"> tai muuhun vastaavaan seikkaan liittyvät tekijät, jotka estävät </w:t>
      </w:r>
      <w:r w:rsidR="00BE3AD2">
        <w:t>toimenpiteen</w:t>
      </w:r>
      <w:r w:rsidR="00EF0548">
        <w:t xml:space="preserve"> </w:t>
      </w:r>
      <w:r w:rsidR="00EF0548" w:rsidRPr="00EF0548">
        <w:t>turvalli</w:t>
      </w:r>
      <w:r w:rsidR="00EF0548">
        <w:t xml:space="preserve">sen </w:t>
      </w:r>
      <w:r w:rsidR="00BE3AD2">
        <w:t>suorittamisen</w:t>
      </w:r>
      <w:r w:rsidR="00EF0548">
        <w:t xml:space="preserve"> (vasta-aiheet)</w:t>
      </w:r>
      <w:r w:rsidR="00EF0548" w:rsidRPr="00EF0548">
        <w:t xml:space="preserve">. </w:t>
      </w:r>
    </w:p>
    <w:p w:rsidR="00F12DB2" w:rsidRDefault="00F12DB2" w:rsidP="000E54B2"/>
    <w:p w:rsidR="000E54B2" w:rsidRDefault="00684DD3" w:rsidP="000E54B2">
      <w:r>
        <w:t>Vasta-aihe</w:t>
      </w:r>
      <w:r w:rsidR="00A37534">
        <w:t>i</w:t>
      </w:r>
      <w:r w:rsidR="00147987">
        <w:t>s</w:t>
      </w:r>
      <w:r>
        <w:t>t</w:t>
      </w:r>
      <w:r w:rsidR="00147987">
        <w:t>a</w:t>
      </w:r>
      <w:r w:rsidR="00D312FF">
        <w:t xml:space="preserve"> on kerrottava </w:t>
      </w:r>
      <w:r w:rsidR="00EF0548">
        <w:t>asiakkaalle</w:t>
      </w:r>
      <w:r w:rsidR="00F17FEA">
        <w:t xml:space="preserve"> ennen </w:t>
      </w:r>
      <w:r w:rsidR="00147987">
        <w:t xml:space="preserve">suunniteltua </w:t>
      </w:r>
      <w:r w:rsidR="00F6036E">
        <w:t>toimenpidettä</w:t>
      </w:r>
      <w:r w:rsidR="00F17FEA">
        <w:t>.</w:t>
      </w:r>
    </w:p>
    <w:p w:rsidR="00814343" w:rsidRDefault="00814343" w:rsidP="009329C4"/>
    <w:p w:rsidR="00690CA8" w:rsidRPr="00EF4D0F" w:rsidRDefault="0076587F" w:rsidP="00690CA8">
      <w:pPr>
        <w:jc w:val="center"/>
      </w:pPr>
      <w:r>
        <w:t>4</w:t>
      </w:r>
      <w:r w:rsidR="00690CA8" w:rsidRPr="00EF4D0F">
        <w:t xml:space="preserve"> §</w:t>
      </w:r>
    </w:p>
    <w:p w:rsidR="00690CA8" w:rsidRPr="0098676C" w:rsidRDefault="00F95DD8" w:rsidP="00C82175">
      <w:pPr>
        <w:jc w:val="center"/>
        <w:rPr>
          <w:i/>
        </w:rPr>
      </w:pPr>
      <w:r w:rsidRPr="0098676C">
        <w:rPr>
          <w:i/>
        </w:rPr>
        <w:t>Ultraviolettisäte</w:t>
      </w:r>
      <w:r w:rsidR="00A35CE1" w:rsidRPr="0098676C">
        <w:rPr>
          <w:i/>
        </w:rPr>
        <w:t xml:space="preserve">ilylle </w:t>
      </w:r>
      <w:r w:rsidR="00814343" w:rsidRPr="00D371BE">
        <w:rPr>
          <w:i/>
        </w:rPr>
        <w:t xml:space="preserve">altistavat </w:t>
      </w:r>
      <w:r w:rsidR="00A35CE1" w:rsidRPr="0098676C">
        <w:rPr>
          <w:i/>
        </w:rPr>
        <w:t>toimenpiteet</w:t>
      </w:r>
    </w:p>
    <w:p w:rsidR="00C82175" w:rsidRPr="00EF4D0F" w:rsidRDefault="00C82175" w:rsidP="00C82175">
      <w:pPr>
        <w:jc w:val="left"/>
      </w:pPr>
    </w:p>
    <w:p w:rsidR="00D22471" w:rsidRDefault="00D22471" w:rsidP="00D22471">
      <w:r>
        <w:t xml:space="preserve">Altistettaessa ihoa keinotekoiselle ultraviolettisäteilylle </w:t>
      </w:r>
      <w:r w:rsidR="00D646A8">
        <w:t xml:space="preserve">solariumissa </w:t>
      </w:r>
      <w:r>
        <w:t>väestön altistu</w:t>
      </w:r>
      <w:r w:rsidR="007E455C">
        <w:t>ksen</w:t>
      </w:r>
      <w:r>
        <w:t xml:space="preserve"> raja-arvot </w:t>
      </w:r>
      <w:r w:rsidR="00C462D0">
        <w:t xml:space="preserve">saa </w:t>
      </w:r>
      <w:r>
        <w:t>ylittää</w:t>
      </w:r>
      <w:r w:rsidR="00814343">
        <w:t>,</w:t>
      </w:r>
      <w:r>
        <w:t xml:space="preserve"> jos</w:t>
      </w:r>
      <w:r w:rsidR="00814343">
        <w:t>:</w:t>
      </w:r>
    </w:p>
    <w:p w:rsidR="00D22471" w:rsidRDefault="00D22471" w:rsidP="00D22471">
      <w:r>
        <w:t xml:space="preserve">1) </w:t>
      </w:r>
      <w:r w:rsidR="002D571E">
        <w:t xml:space="preserve">asiakkaalle annetaan riittävät tiedot säteilytysajan valitsemiseksi siten että </w:t>
      </w:r>
      <w:r>
        <w:t>lyhytaikaisesta altist</w:t>
      </w:r>
      <w:r>
        <w:t>u</w:t>
      </w:r>
      <w:r>
        <w:t>misesta aiheutuvia välittömiä haittavaikutuksia</w:t>
      </w:r>
      <w:r w:rsidR="0082430D">
        <w:t>,</w:t>
      </w:r>
      <w:r>
        <w:t xml:space="preserve"> kuten ihon puno</w:t>
      </w:r>
      <w:r w:rsidR="0082430D">
        <w:t>i</w:t>
      </w:r>
      <w:r>
        <w:t>tusta</w:t>
      </w:r>
      <w:r w:rsidR="00C462D0">
        <w:t>,</w:t>
      </w:r>
      <w:r>
        <w:t xml:space="preserve"> ei esiinny;</w:t>
      </w:r>
    </w:p>
    <w:p w:rsidR="00D22471" w:rsidRDefault="00D22471" w:rsidP="00D22471">
      <w:r>
        <w:t xml:space="preserve">2) ihoon kohdistuvan ultraviolettisäteilyn efektiivinen energiatiheys ei vuoden aikana </w:t>
      </w:r>
      <w:r w:rsidR="008A2312">
        <w:t xml:space="preserve">ole suurempi kuin </w:t>
      </w:r>
      <w:r>
        <w:t xml:space="preserve">5 kJ/m²; </w:t>
      </w:r>
      <w:r w:rsidR="00C462D0">
        <w:t>ja</w:t>
      </w:r>
    </w:p>
    <w:p w:rsidR="00690CA8" w:rsidRDefault="00D22471" w:rsidP="00D22471">
      <w:r>
        <w:t xml:space="preserve"> 3) ihoon kohdistuvan ultraviolettisäteilyn efektiivinen </w:t>
      </w:r>
      <w:proofErr w:type="spellStart"/>
      <w:r>
        <w:t>irradianssi</w:t>
      </w:r>
      <w:proofErr w:type="spellEnd"/>
      <w:r>
        <w:t xml:space="preserve"> </w:t>
      </w:r>
      <w:r w:rsidR="008A2312">
        <w:t xml:space="preserve">ei ole suurempi kuin </w:t>
      </w:r>
      <w:r>
        <w:t xml:space="preserve">0,30 W/m². </w:t>
      </w:r>
    </w:p>
    <w:p w:rsidR="00200697" w:rsidRDefault="00200697" w:rsidP="00D22471"/>
    <w:p w:rsidR="00BA67D3" w:rsidRDefault="00A35CE1" w:rsidP="00D22471">
      <w:r>
        <w:t>Solariumlaitteen ajastin on säädettävä niin, että yhden käyttöke</w:t>
      </w:r>
      <w:r w:rsidR="0098676C">
        <w:t>rran efektiivinen energiatiheys</w:t>
      </w:r>
      <w:r w:rsidR="006F7701">
        <w:t xml:space="preserve"> saa pienimmällä</w:t>
      </w:r>
      <w:r>
        <w:t xml:space="preserve"> ajalla olla </w:t>
      </w:r>
      <w:r w:rsidR="008A2312">
        <w:t xml:space="preserve">enintään </w:t>
      </w:r>
      <w:r>
        <w:t xml:space="preserve">100 J/m² ja suurimmalla ajalla </w:t>
      </w:r>
      <w:r w:rsidR="008A2312">
        <w:t>enintään</w:t>
      </w:r>
      <w:r>
        <w:t xml:space="preserve"> 600 J/m².</w:t>
      </w:r>
    </w:p>
    <w:p w:rsidR="008A2312" w:rsidRDefault="008A2312" w:rsidP="00D22471"/>
    <w:p w:rsidR="008A2312" w:rsidRDefault="00C462D0" w:rsidP="00D22471">
      <w:r>
        <w:t>E</w:t>
      </w:r>
      <w:r w:rsidR="008A2312">
        <w:t xml:space="preserve">fektiivisen energiatiheyden ja </w:t>
      </w:r>
      <w:proofErr w:type="spellStart"/>
      <w:r w:rsidR="008A2312">
        <w:t>irradianssin</w:t>
      </w:r>
      <w:proofErr w:type="spellEnd"/>
      <w:r w:rsidR="008A2312">
        <w:t xml:space="preserve"> määrittämisestä määrätään liitteessä 1.</w:t>
      </w:r>
    </w:p>
    <w:p w:rsidR="0023316D" w:rsidRDefault="0023316D">
      <w:pPr>
        <w:jc w:val="left"/>
      </w:pPr>
      <w:r>
        <w:br w:type="page"/>
      </w:r>
    </w:p>
    <w:p w:rsidR="00E10E6C" w:rsidRPr="0098676C" w:rsidRDefault="00E10E6C" w:rsidP="00690CA8"/>
    <w:p w:rsidR="00D2481B" w:rsidRPr="00EF4D0F" w:rsidRDefault="0076587F" w:rsidP="00D2481B">
      <w:pPr>
        <w:jc w:val="center"/>
      </w:pPr>
      <w:r>
        <w:t>5</w:t>
      </w:r>
      <w:r w:rsidR="00D2481B" w:rsidRPr="00EF4D0F">
        <w:t xml:space="preserve"> §</w:t>
      </w:r>
    </w:p>
    <w:p w:rsidR="00D2481B" w:rsidRPr="00814343" w:rsidRDefault="00556B83" w:rsidP="00A35CE1">
      <w:pPr>
        <w:jc w:val="center"/>
        <w:rPr>
          <w:i/>
        </w:rPr>
      </w:pPr>
      <w:r w:rsidRPr="00E934F0">
        <w:rPr>
          <w:i/>
        </w:rPr>
        <w:t>O</w:t>
      </w:r>
      <w:r w:rsidR="00B73B75" w:rsidRPr="00E934F0">
        <w:rPr>
          <w:i/>
        </w:rPr>
        <w:t>ptiselle säteilylle altistavat toimenpiteet</w:t>
      </w:r>
    </w:p>
    <w:p w:rsidR="003C6C1D" w:rsidRPr="00EF4D0F" w:rsidRDefault="003C6C1D" w:rsidP="00D2481B"/>
    <w:p w:rsidR="00E21BA5" w:rsidRDefault="00556B83" w:rsidP="00E21BA5">
      <w:r>
        <w:t>O</w:t>
      </w:r>
      <w:r w:rsidR="00E21BA5">
        <w:t>ptisen säteilyn altistu</w:t>
      </w:r>
      <w:r w:rsidR="00F61CD0">
        <w:t>ksen</w:t>
      </w:r>
      <w:r w:rsidR="00CE55BD">
        <w:t xml:space="preserve"> </w:t>
      </w:r>
      <w:r w:rsidR="00E21BA5">
        <w:t xml:space="preserve">raja-arvot </w:t>
      </w:r>
      <w:r w:rsidR="00C462D0">
        <w:t xml:space="preserve">saa </w:t>
      </w:r>
      <w:r w:rsidR="00E21BA5">
        <w:t xml:space="preserve">ylittää käytettäessä standardin </w:t>
      </w:r>
      <w:r w:rsidR="00F61CD0">
        <w:t>SFS-</w:t>
      </w:r>
      <w:r w:rsidR="00E21BA5">
        <w:t>EN</w:t>
      </w:r>
    </w:p>
    <w:p w:rsidR="00D2481B" w:rsidRPr="00EF4D0F" w:rsidRDefault="00E21BA5" w:rsidP="00E21BA5">
      <w:r>
        <w:t>60335-2-113 vaatimukset täyttävää laitetta</w:t>
      </w:r>
      <w:r w:rsidR="00B84F17">
        <w:t>.</w:t>
      </w:r>
      <w:r w:rsidRPr="00EF4D0F">
        <w:t xml:space="preserve"> </w:t>
      </w:r>
    </w:p>
    <w:p w:rsidR="00ED017B" w:rsidRDefault="00ED017B" w:rsidP="00E21BA5"/>
    <w:p w:rsidR="00ED017B" w:rsidRDefault="00ED017B" w:rsidP="00E21BA5">
      <w:r>
        <w:t>Luokan 1, 1M, 2, 2M, 3R ja 3B laserlaitetta saa käyttää paikallisesti iholle, jos:</w:t>
      </w:r>
    </w:p>
    <w:p w:rsidR="00ED017B" w:rsidRDefault="00ED017B" w:rsidP="006B1B59">
      <w:pPr>
        <w:pStyle w:val="Luettelokappale"/>
        <w:numPr>
          <w:ilvl w:val="0"/>
          <w:numId w:val="33"/>
        </w:numPr>
      </w:pPr>
      <w:r>
        <w:t>altistuksen kesto on suurempi kuin 0,25 sekuntia</w:t>
      </w:r>
      <w:r w:rsidR="00E54BD5">
        <w:t>;</w:t>
      </w:r>
    </w:p>
    <w:p w:rsidR="00E54BD5" w:rsidRDefault="00E54BD5" w:rsidP="006B1B59">
      <w:pPr>
        <w:pStyle w:val="Luettelokappale"/>
        <w:numPr>
          <w:ilvl w:val="0"/>
          <w:numId w:val="33"/>
        </w:numPr>
      </w:pPr>
      <w:r>
        <w:t xml:space="preserve">laserlaitteen emission teho on enintään 500 </w:t>
      </w:r>
      <w:proofErr w:type="spellStart"/>
      <w:r>
        <w:t>mW</w:t>
      </w:r>
      <w:proofErr w:type="spellEnd"/>
      <w:r>
        <w:t xml:space="preserve"> mitattuna 3,5 mm:n apertuurissa laserlaitetta lähinnä olevassa altistumispisteessä;</w:t>
      </w:r>
    </w:p>
    <w:p w:rsidR="00E54BD5" w:rsidRDefault="00E54BD5" w:rsidP="006B1B59">
      <w:pPr>
        <w:pStyle w:val="Luettelokappale"/>
        <w:numPr>
          <w:ilvl w:val="0"/>
          <w:numId w:val="33"/>
        </w:numPr>
      </w:pPr>
      <w:r>
        <w:t>kivunlievitystä ei käytetä; ja</w:t>
      </w:r>
    </w:p>
    <w:p w:rsidR="00E54BD5" w:rsidRDefault="00E54BD5" w:rsidP="006B1B59">
      <w:pPr>
        <w:pStyle w:val="Luettelokappale"/>
        <w:numPr>
          <w:ilvl w:val="0"/>
          <w:numId w:val="33"/>
        </w:numPr>
      </w:pPr>
      <w:r>
        <w:t>toimenpide keskeytetään välittömästi, jos toimenpiteestä aiheutuu kipua.</w:t>
      </w:r>
    </w:p>
    <w:p w:rsidR="00814343" w:rsidRPr="002A2D95" w:rsidRDefault="00814343" w:rsidP="002A2D95"/>
    <w:p w:rsidR="00E21BA5" w:rsidRPr="00EF4D0F" w:rsidRDefault="0076587F" w:rsidP="00E21BA5">
      <w:pPr>
        <w:jc w:val="center"/>
      </w:pPr>
      <w:r>
        <w:t>6</w:t>
      </w:r>
      <w:r w:rsidR="00E21BA5" w:rsidRPr="00EF4D0F">
        <w:t xml:space="preserve"> §</w:t>
      </w:r>
    </w:p>
    <w:p w:rsidR="00E21BA5" w:rsidRPr="00EF4D0F" w:rsidRDefault="000E4238" w:rsidP="00E21BA5">
      <w:pPr>
        <w:jc w:val="center"/>
        <w:rPr>
          <w:i/>
        </w:rPr>
      </w:pPr>
      <w:r>
        <w:rPr>
          <w:i/>
        </w:rPr>
        <w:t>Sähkömagneettisille kentille</w:t>
      </w:r>
      <w:r w:rsidR="00E21BA5">
        <w:rPr>
          <w:i/>
        </w:rPr>
        <w:t xml:space="preserve"> altistavat </w:t>
      </w:r>
      <w:r w:rsidR="003F0CB8">
        <w:rPr>
          <w:i/>
        </w:rPr>
        <w:t>toimenpiteet</w:t>
      </w:r>
    </w:p>
    <w:p w:rsidR="00E21BA5" w:rsidRPr="00EF4D0F" w:rsidRDefault="00E21BA5" w:rsidP="00E21BA5"/>
    <w:p w:rsidR="000E4238" w:rsidRDefault="007E1046" w:rsidP="00E21BA5">
      <w:r>
        <w:t>S</w:t>
      </w:r>
      <w:r w:rsidR="003C2F0B">
        <w:t>ähkömagneettis</w:t>
      </w:r>
      <w:r>
        <w:t xml:space="preserve">esta kentästä kehoon aiheutuva </w:t>
      </w:r>
      <w:r w:rsidR="000E4238">
        <w:t>ominaisabsorptionopeu</w:t>
      </w:r>
      <w:r>
        <w:t>s saa hoidettavalle olla väe</w:t>
      </w:r>
      <w:r>
        <w:t>s</w:t>
      </w:r>
      <w:r>
        <w:t>tön altistuksen raja-arvoja suurempi,</w:t>
      </w:r>
      <w:r w:rsidR="000E4238">
        <w:t xml:space="preserve"> jos taulukos</w:t>
      </w:r>
      <w:r>
        <w:t>sa</w:t>
      </w:r>
      <w:r w:rsidR="000E4238">
        <w:t xml:space="preserve"> </w:t>
      </w:r>
      <w:r w:rsidR="002A2D95">
        <w:t>määrättyjä</w:t>
      </w:r>
      <w:r w:rsidR="009375CF">
        <w:t xml:space="preserve"> arvoja ei ylitetä.</w:t>
      </w:r>
    </w:p>
    <w:p w:rsidR="001E1F64" w:rsidRDefault="001E1F64" w:rsidP="00AA0028">
      <w:pPr>
        <w:pStyle w:val="Leipteksti"/>
        <w:ind w:left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21"/>
        <w:gridCol w:w="2237"/>
        <w:gridCol w:w="2096"/>
        <w:gridCol w:w="2096"/>
      </w:tblGrid>
      <w:tr w:rsidR="001E1F64" w:rsidTr="00B657E3">
        <w:tc>
          <w:tcPr>
            <w:tcW w:w="2121" w:type="dxa"/>
          </w:tcPr>
          <w:p w:rsidR="001E1F64" w:rsidRDefault="001E1F64" w:rsidP="000A523B">
            <w:r>
              <w:t>Taajuusalue</w:t>
            </w:r>
          </w:p>
        </w:tc>
        <w:tc>
          <w:tcPr>
            <w:tcW w:w="2237" w:type="dxa"/>
          </w:tcPr>
          <w:p w:rsidR="001E1F64" w:rsidRDefault="001E1F64" w:rsidP="000A523B">
            <w:r>
              <w:t>Keskimääräinen k</w:t>
            </w:r>
            <w:r>
              <w:t>o</w:t>
            </w:r>
            <w:r>
              <w:t>ko kehon SAR</w:t>
            </w:r>
          </w:p>
          <w:p w:rsidR="001E1F64" w:rsidRDefault="0036489F" w:rsidP="000A523B">
            <w:r>
              <w:t>(</w:t>
            </w:r>
            <w:r w:rsidR="001E1F64">
              <w:t>W/kg</w:t>
            </w:r>
            <w:r>
              <w:t>)</w:t>
            </w:r>
          </w:p>
        </w:tc>
        <w:tc>
          <w:tcPr>
            <w:tcW w:w="2096" w:type="dxa"/>
          </w:tcPr>
          <w:p w:rsidR="001E1F64" w:rsidRDefault="001E1F64" w:rsidP="000A523B">
            <w:r>
              <w:t>Paikallinen SAR päässä ja vartalossa</w:t>
            </w:r>
          </w:p>
          <w:p w:rsidR="001E1F64" w:rsidRDefault="0036489F" w:rsidP="000A523B">
            <w:r>
              <w:t>(</w:t>
            </w:r>
            <w:r w:rsidR="001E1F64">
              <w:t>W/kg</w:t>
            </w:r>
            <w:r>
              <w:t>)</w:t>
            </w:r>
          </w:p>
        </w:tc>
        <w:tc>
          <w:tcPr>
            <w:tcW w:w="2096" w:type="dxa"/>
          </w:tcPr>
          <w:p w:rsidR="001E1F64" w:rsidRDefault="001E1F64" w:rsidP="000A523B">
            <w:r>
              <w:t>Paikallinen SAR raajoissa</w:t>
            </w:r>
          </w:p>
          <w:p w:rsidR="001E1F64" w:rsidRDefault="0036489F" w:rsidP="000A523B">
            <w:r>
              <w:t>(</w:t>
            </w:r>
            <w:r w:rsidR="001E1F64">
              <w:t>W/kg</w:t>
            </w:r>
            <w:r>
              <w:t>)</w:t>
            </w:r>
          </w:p>
        </w:tc>
      </w:tr>
      <w:tr w:rsidR="001E1F64" w:rsidTr="00B657E3">
        <w:tc>
          <w:tcPr>
            <w:tcW w:w="2121" w:type="dxa"/>
          </w:tcPr>
          <w:p w:rsidR="001E1F64" w:rsidRDefault="001E1F64" w:rsidP="000A523B">
            <w:r>
              <w:t xml:space="preserve">100 kHz – 6 </w:t>
            </w:r>
            <w:proofErr w:type="spellStart"/>
            <w:r>
              <w:t>GHz</w:t>
            </w:r>
            <w:proofErr w:type="spellEnd"/>
          </w:p>
        </w:tc>
        <w:tc>
          <w:tcPr>
            <w:tcW w:w="2237" w:type="dxa"/>
          </w:tcPr>
          <w:p w:rsidR="001E1F64" w:rsidRDefault="001E1F64" w:rsidP="000A523B">
            <w:r>
              <w:t>0,4</w:t>
            </w:r>
          </w:p>
        </w:tc>
        <w:tc>
          <w:tcPr>
            <w:tcW w:w="2096" w:type="dxa"/>
          </w:tcPr>
          <w:p w:rsidR="001E1F64" w:rsidRDefault="001E1F64" w:rsidP="000A523B">
            <w:r>
              <w:t>10</w:t>
            </w:r>
          </w:p>
        </w:tc>
        <w:tc>
          <w:tcPr>
            <w:tcW w:w="2096" w:type="dxa"/>
          </w:tcPr>
          <w:p w:rsidR="001E1F64" w:rsidRDefault="001E1F64" w:rsidP="000A523B">
            <w:r>
              <w:t>20</w:t>
            </w:r>
          </w:p>
        </w:tc>
      </w:tr>
    </w:tbl>
    <w:p w:rsidR="00E21BA5" w:rsidRPr="006F7701" w:rsidRDefault="007E1046" w:rsidP="00E21BA5">
      <w:pPr>
        <w:rPr>
          <w:sz w:val="20"/>
          <w:szCs w:val="20"/>
        </w:rPr>
      </w:pPr>
      <w:r w:rsidRPr="006F7701">
        <w:rPr>
          <w:sz w:val="20"/>
          <w:szCs w:val="20"/>
        </w:rPr>
        <w:t>Sähkömagneettisesta kentästä kehoon aiheutuva ominaisabsorptionopeus (SAR) määritetään keskiarvona ku</w:t>
      </w:r>
      <w:r w:rsidRPr="006F7701">
        <w:rPr>
          <w:sz w:val="20"/>
          <w:szCs w:val="20"/>
        </w:rPr>
        <w:t>u</w:t>
      </w:r>
      <w:r w:rsidRPr="006F7701">
        <w:rPr>
          <w:sz w:val="20"/>
          <w:szCs w:val="20"/>
        </w:rPr>
        <w:t>den minuutin ajanjaksoilta. Paikallinen SAR määritetään keskiarvona 10 g</w:t>
      </w:r>
      <w:r w:rsidR="0036489F" w:rsidRPr="006F7701">
        <w:rPr>
          <w:sz w:val="20"/>
          <w:szCs w:val="20"/>
        </w:rPr>
        <w:t>:n</w:t>
      </w:r>
      <w:r w:rsidR="007B4100">
        <w:rPr>
          <w:sz w:val="20"/>
          <w:szCs w:val="20"/>
        </w:rPr>
        <w:t xml:space="preserve"> kudos</w:t>
      </w:r>
      <w:r w:rsidRPr="006F7701">
        <w:rPr>
          <w:sz w:val="20"/>
          <w:szCs w:val="20"/>
        </w:rPr>
        <w:t>massassa.</w:t>
      </w:r>
    </w:p>
    <w:p w:rsidR="007E1046" w:rsidRPr="00EF4D0F" w:rsidRDefault="007E1046" w:rsidP="00E21BA5"/>
    <w:p w:rsidR="00E21BA5" w:rsidRPr="00EF4D0F" w:rsidRDefault="0076587F" w:rsidP="00E21BA5">
      <w:pPr>
        <w:jc w:val="center"/>
      </w:pPr>
      <w:r>
        <w:t>7</w:t>
      </w:r>
      <w:r w:rsidR="00E21BA5" w:rsidRPr="00EF4D0F">
        <w:t xml:space="preserve"> §</w:t>
      </w:r>
    </w:p>
    <w:p w:rsidR="00E21BA5" w:rsidRPr="00EF4D0F" w:rsidRDefault="003C2F0B" w:rsidP="00E21BA5">
      <w:pPr>
        <w:jc w:val="center"/>
        <w:rPr>
          <w:i/>
        </w:rPr>
      </w:pPr>
      <w:r>
        <w:rPr>
          <w:i/>
        </w:rPr>
        <w:t xml:space="preserve">Ultraäänelle </w:t>
      </w:r>
      <w:r w:rsidR="00B2205B">
        <w:rPr>
          <w:i/>
        </w:rPr>
        <w:t>altistavat toimenpiteet</w:t>
      </w:r>
    </w:p>
    <w:p w:rsidR="00E21BA5" w:rsidRPr="00EF4D0F" w:rsidRDefault="00E21BA5" w:rsidP="00E21BA5"/>
    <w:p w:rsidR="00E21BA5" w:rsidRDefault="000F3126" w:rsidP="00E21BA5">
      <w:r>
        <w:t>J</w:t>
      </w:r>
      <w:r w:rsidR="007C4892">
        <w:t>ohde</w:t>
      </w:r>
      <w:r>
        <w:t>ttaessa ultraääntä</w:t>
      </w:r>
      <w:r w:rsidR="007C4892">
        <w:t xml:space="preserve"> kehoon ihokontaktin tai ultraäänen energiaa kehoon tehokkaasti siirtävän väliaineen kautta</w:t>
      </w:r>
      <w:r>
        <w:t xml:space="preserve"> altistus </w:t>
      </w:r>
      <w:r w:rsidR="003040E8">
        <w:t xml:space="preserve">saa </w:t>
      </w:r>
      <w:r>
        <w:t>olla altistuksen</w:t>
      </w:r>
      <w:r w:rsidR="00CE55BD">
        <w:t xml:space="preserve"> </w:t>
      </w:r>
      <w:r w:rsidR="003040E8">
        <w:t>raja-arvoa suurempi</w:t>
      </w:r>
      <w:r w:rsidR="00E21BA5">
        <w:t xml:space="preserve"> mui</w:t>
      </w:r>
      <w:r>
        <w:t>ssa kehon osissa kuin silmissä</w:t>
      </w:r>
      <w:r w:rsidR="003040E8">
        <w:t>,</w:t>
      </w:r>
      <w:r>
        <w:t xml:space="preserve"> </w:t>
      </w:r>
      <w:r w:rsidR="003040E8">
        <w:t>jos</w:t>
      </w:r>
      <w:r w:rsidR="00E21BA5">
        <w:t>:</w:t>
      </w:r>
    </w:p>
    <w:p w:rsidR="00E21BA5" w:rsidRDefault="00E21BA5" w:rsidP="00E21BA5">
      <w:r>
        <w:t>1) ultraäänen intensiteetti on enintään 3 W/cm</w:t>
      </w:r>
      <w:r w:rsidR="005F1CD7">
        <w:t xml:space="preserve">² </w:t>
      </w:r>
      <w:r>
        <w:t>tai</w:t>
      </w:r>
      <w:r w:rsidR="00036B3A">
        <w:t>kka ultraäänen</w:t>
      </w:r>
      <w:r>
        <w:t xml:space="preserve"> </w:t>
      </w:r>
      <w:r w:rsidR="003040E8">
        <w:t>terminen indeksi</w:t>
      </w:r>
      <w:r>
        <w:t xml:space="preserve"> on </w:t>
      </w:r>
      <w:r w:rsidR="0036489F">
        <w:t xml:space="preserve">pienempi kuin </w:t>
      </w:r>
      <w:r>
        <w:t>1</w:t>
      </w:r>
      <w:r w:rsidR="00A43BD4">
        <w:t>,0</w:t>
      </w:r>
      <w:r>
        <w:t xml:space="preserve"> ja me</w:t>
      </w:r>
      <w:r w:rsidR="003040E8">
        <w:t>kaaninen indeksi</w:t>
      </w:r>
      <w:r>
        <w:t xml:space="preserve"> on </w:t>
      </w:r>
      <w:r w:rsidR="0036489F">
        <w:t xml:space="preserve">pienempi kuin </w:t>
      </w:r>
      <w:r>
        <w:t>0,7</w:t>
      </w:r>
      <w:r w:rsidR="003040E8">
        <w:t>;</w:t>
      </w:r>
    </w:p>
    <w:p w:rsidR="00E21BA5" w:rsidRDefault="00E21BA5" w:rsidP="00E21BA5">
      <w:r>
        <w:t>2) altistusta ei kohdisteta samalle alueel</w:t>
      </w:r>
      <w:r w:rsidR="003040E8">
        <w:t>le tarpeettoman pitkäksi ajaksi;</w:t>
      </w:r>
      <w:r w:rsidR="00974D2A">
        <w:t xml:space="preserve"> </w:t>
      </w:r>
      <w:r>
        <w:t>ja</w:t>
      </w:r>
    </w:p>
    <w:p w:rsidR="00E21BA5" w:rsidRDefault="00974D2A" w:rsidP="00E21BA5">
      <w:r>
        <w:t>3</w:t>
      </w:r>
      <w:r w:rsidR="00E21BA5">
        <w:t xml:space="preserve">) </w:t>
      </w:r>
      <w:r w:rsidR="0081725B">
        <w:t xml:space="preserve">raskaus </w:t>
      </w:r>
      <w:r w:rsidR="007C4892">
        <w:t>on</w:t>
      </w:r>
      <w:r w:rsidR="0081725B">
        <w:t xml:space="preserve"> huomioitu vasta-aiheissa.</w:t>
      </w:r>
    </w:p>
    <w:p w:rsidR="007C4892" w:rsidRDefault="007C4892" w:rsidP="00E21BA5"/>
    <w:p w:rsidR="007C4892" w:rsidRDefault="00226CE3" w:rsidP="0076587F">
      <w:r w:rsidRPr="00226CE3">
        <w:t>Silmän läheisyydessä tehtävässä toimenpiteessä on erikseen varmistettava, että ultraäänen intens</w:t>
      </w:r>
      <w:r w:rsidRPr="00226CE3">
        <w:t>i</w:t>
      </w:r>
      <w:r w:rsidRPr="00226CE3">
        <w:t>teetti silmässä on enintään 0,05 W/cm² taikka ultraäänen terminen indeksi silmässä on enintään 0,7 ja mekaaninen indeksi silmässä on enintään 0,2.</w:t>
      </w:r>
      <w:r w:rsidR="00C35779">
        <w:t xml:space="preserve"> </w:t>
      </w:r>
    </w:p>
    <w:p w:rsidR="003040E8" w:rsidRDefault="003040E8" w:rsidP="00E21BA5"/>
    <w:p w:rsidR="0023316D" w:rsidRDefault="003040E8" w:rsidP="007521ED">
      <w:r>
        <w:t xml:space="preserve">Ultraäänen </w:t>
      </w:r>
      <w:r w:rsidR="00564C91">
        <w:t>termisen ja mek</w:t>
      </w:r>
      <w:r w:rsidR="006F7701">
        <w:t xml:space="preserve">aanisen indeksin </w:t>
      </w:r>
      <w:r w:rsidR="00ED017B">
        <w:t>määrittämisestä säädetään</w:t>
      </w:r>
      <w:r w:rsidR="006F7701">
        <w:t xml:space="preserve"> </w:t>
      </w:r>
      <w:r w:rsidRPr="003040E8">
        <w:t>ionisoimattoman säteilyn väestölle aiheuttaman altistuksen rajoittamisesta</w:t>
      </w:r>
      <w:r>
        <w:t xml:space="preserve"> annetussa sosiaali- ja terveysministeriön asetukse</w:t>
      </w:r>
      <w:r>
        <w:t>s</w:t>
      </w:r>
      <w:r>
        <w:t>sa</w:t>
      </w:r>
      <w:r w:rsidR="00D5163E">
        <w:t xml:space="preserve"> ( / )</w:t>
      </w:r>
      <w:r>
        <w:t>.</w:t>
      </w:r>
    </w:p>
    <w:p w:rsidR="0023316D" w:rsidRDefault="0023316D" w:rsidP="007521ED"/>
    <w:p w:rsidR="004E2B7C" w:rsidRDefault="004E2B7C">
      <w:pPr>
        <w:jc w:val="left"/>
      </w:pPr>
      <w:r>
        <w:br w:type="page"/>
      </w:r>
    </w:p>
    <w:p w:rsidR="004E2B7C" w:rsidRPr="009920A2" w:rsidRDefault="004E2B7C" w:rsidP="004E2B7C"/>
    <w:p w:rsidR="004E2B7C" w:rsidRPr="009920A2" w:rsidRDefault="004E2B7C" w:rsidP="004E2B7C">
      <w:pPr>
        <w:jc w:val="center"/>
      </w:pPr>
      <w:r>
        <w:t>8</w:t>
      </w:r>
      <w:r w:rsidRPr="009920A2">
        <w:t xml:space="preserve"> §</w:t>
      </w:r>
    </w:p>
    <w:p w:rsidR="004E2B7C" w:rsidRPr="00903C25" w:rsidRDefault="004E2B7C" w:rsidP="004E2B7C">
      <w:pPr>
        <w:jc w:val="center"/>
        <w:rPr>
          <w:i/>
        </w:rPr>
      </w:pPr>
      <w:r w:rsidRPr="00903C25">
        <w:rPr>
          <w:i/>
        </w:rPr>
        <w:t>Voimaantulo</w:t>
      </w:r>
    </w:p>
    <w:p w:rsidR="004E2B7C" w:rsidRDefault="004E2B7C" w:rsidP="004E2B7C">
      <w:pPr>
        <w:rPr>
          <w:b/>
        </w:rPr>
      </w:pPr>
    </w:p>
    <w:p w:rsidR="004E2B7C" w:rsidRDefault="004E2B7C" w:rsidP="004E2B7C">
      <w:pPr>
        <w:jc w:val="left"/>
      </w:pPr>
      <w:r>
        <w:t xml:space="preserve">Tämä määräys tulee voimaan  </w:t>
      </w:r>
      <w:r>
        <w:softHyphen/>
        <w:t xml:space="preserve"> päivänä  kuuta 201  ja on voimassa toistaiseksi.</w:t>
      </w:r>
    </w:p>
    <w:p w:rsidR="004E2B7C" w:rsidRDefault="004E2B7C" w:rsidP="004E2B7C"/>
    <w:p w:rsidR="004E2B7C" w:rsidRDefault="004E2B7C" w:rsidP="004E2B7C">
      <w:pPr>
        <w:tabs>
          <w:tab w:val="left" w:pos="0"/>
          <w:tab w:val="left" w:pos="284"/>
        </w:tabs>
        <w:jc w:val="left"/>
      </w:pPr>
      <w:r w:rsidRPr="002F50FD">
        <w:t>Tämän määräyksen voimaan tullessa vireillä oleviin asioihin sovelletaan tätä määräystä</w:t>
      </w:r>
      <w:r>
        <w:t>.</w:t>
      </w:r>
    </w:p>
    <w:p w:rsidR="004E2B7C" w:rsidRDefault="004E2B7C" w:rsidP="004E2B7C">
      <w:pPr>
        <w:jc w:val="left"/>
      </w:pPr>
    </w:p>
    <w:p w:rsidR="004E2B7C" w:rsidRDefault="004E2B7C" w:rsidP="004E2B7C">
      <w:pPr>
        <w:jc w:val="left"/>
      </w:pPr>
    </w:p>
    <w:p w:rsidR="004E2B7C" w:rsidRDefault="004E2B7C" w:rsidP="004E2B7C">
      <w:pPr>
        <w:jc w:val="left"/>
      </w:pPr>
      <w:r>
        <w:t xml:space="preserve">Helsingissä  </w:t>
      </w:r>
      <w:r w:rsidRPr="00116F6B">
        <w:t xml:space="preserve">päivänä </w:t>
      </w:r>
      <w:r>
        <w:t xml:space="preserve"> </w:t>
      </w:r>
      <w:r w:rsidRPr="00116F6B">
        <w:t>kuuta 201</w:t>
      </w:r>
    </w:p>
    <w:p w:rsidR="004E2B7C" w:rsidRDefault="004E2B7C" w:rsidP="004E2B7C">
      <w:pPr>
        <w:jc w:val="left"/>
      </w:pPr>
    </w:p>
    <w:p w:rsidR="004E2B7C" w:rsidRDefault="004E2B7C" w:rsidP="004E2B7C">
      <w:pPr>
        <w:jc w:val="left"/>
      </w:pPr>
    </w:p>
    <w:p w:rsidR="004E2B7C" w:rsidRDefault="004E2B7C" w:rsidP="004E2B7C">
      <w:pPr>
        <w:jc w:val="left"/>
      </w:pPr>
    </w:p>
    <w:p w:rsidR="004E2B7C" w:rsidRDefault="004E2B7C" w:rsidP="004E2B7C">
      <w:pPr>
        <w:jc w:val="left"/>
      </w:pPr>
      <w:r>
        <w:t>Pääjohtaja</w:t>
      </w:r>
      <w:r>
        <w:tab/>
      </w:r>
      <w:r>
        <w:tab/>
        <w:t>Petteri Tiippana</w:t>
      </w:r>
    </w:p>
    <w:p w:rsidR="004E2B7C" w:rsidRDefault="004E2B7C" w:rsidP="004E2B7C">
      <w:pPr>
        <w:jc w:val="left"/>
      </w:pPr>
    </w:p>
    <w:p w:rsidR="004E2B7C" w:rsidRDefault="004E2B7C" w:rsidP="004E2B7C">
      <w:pPr>
        <w:jc w:val="left"/>
      </w:pPr>
    </w:p>
    <w:p w:rsidR="004E2B7C" w:rsidRDefault="004E2B7C" w:rsidP="004E2B7C">
      <w:pPr>
        <w:jc w:val="left"/>
      </w:pPr>
    </w:p>
    <w:p w:rsidR="004E2B7C" w:rsidRDefault="004E2B7C" w:rsidP="004E2B7C">
      <w:pPr>
        <w:jc w:val="left"/>
      </w:pPr>
      <w:r>
        <w:t>Johtaja</w:t>
      </w:r>
      <w:r>
        <w:tab/>
      </w:r>
      <w:r>
        <w:tab/>
        <w:t>Tommi Toivonen</w:t>
      </w:r>
    </w:p>
    <w:p w:rsidR="004E2B7C" w:rsidRDefault="004E2B7C" w:rsidP="004E2B7C">
      <w:pPr>
        <w:pStyle w:val="Leipteksti"/>
        <w:ind w:left="0"/>
        <w:rPr>
          <w:b/>
          <w:sz w:val="20"/>
          <w:szCs w:val="20"/>
        </w:rPr>
      </w:pPr>
    </w:p>
    <w:p w:rsidR="004E2B7C" w:rsidRDefault="004E2B7C" w:rsidP="004E2B7C">
      <w:pPr>
        <w:jc w:val="left"/>
        <w:rPr>
          <w:b/>
          <w:sz w:val="20"/>
          <w:szCs w:val="20"/>
        </w:rPr>
      </w:pPr>
    </w:p>
    <w:p w:rsidR="004E2B7C" w:rsidRPr="0035014C" w:rsidRDefault="004E2B7C" w:rsidP="004E2B7C">
      <w:pPr>
        <w:pStyle w:val="Leipteksti"/>
        <w:ind w:left="0"/>
        <w:rPr>
          <w:b/>
          <w:sz w:val="20"/>
          <w:szCs w:val="20"/>
        </w:rPr>
      </w:pPr>
      <w:r w:rsidRPr="0035014C">
        <w:rPr>
          <w:b/>
          <w:sz w:val="20"/>
          <w:szCs w:val="20"/>
        </w:rPr>
        <w:t>Määräyksen saatavuus, ohjaus ja neuvonta</w:t>
      </w:r>
    </w:p>
    <w:p w:rsidR="004E2B7C" w:rsidRPr="0035014C" w:rsidRDefault="004E2B7C" w:rsidP="004E2B7C">
      <w:pPr>
        <w:pStyle w:val="Leipteksti"/>
        <w:ind w:left="0"/>
        <w:jc w:val="left"/>
        <w:rPr>
          <w:sz w:val="20"/>
          <w:szCs w:val="20"/>
        </w:rPr>
      </w:pPr>
      <w:r w:rsidRPr="0035014C">
        <w:rPr>
          <w:sz w:val="20"/>
          <w:szCs w:val="20"/>
        </w:rPr>
        <w:t xml:space="preserve">Tämä määräys on julkaistu Säteilyturvakeskuksen määräyskokoelmassa </w:t>
      </w:r>
      <w:r w:rsidRPr="0035014C">
        <w:rPr>
          <w:sz w:val="20"/>
          <w:szCs w:val="20"/>
        </w:rPr>
        <w:br/>
        <w:t xml:space="preserve">ja se on saatavissa Säteilyturvakeskuksesta. </w:t>
      </w:r>
    </w:p>
    <w:p w:rsidR="004E2B7C" w:rsidRDefault="004E2B7C" w:rsidP="004E2B7C">
      <w:pPr>
        <w:pStyle w:val="Leipteksti"/>
        <w:spacing w:after="0"/>
        <w:ind w:left="0"/>
        <w:rPr>
          <w:sz w:val="20"/>
          <w:szCs w:val="20"/>
        </w:rPr>
      </w:pPr>
      <w:r w:rsidRPr="0035014C">
        <w:rPr>
          <w:sz w:val="20"/>
          <w:szCs w:val="20"/>
        </w:rPr>
        <w:t xml:space="preserve">Käyntiosoite: Laippatie 4, 00880 Helsinki </w:t>
      </w:r>
    </w:p>
    <w:p w:rsidR="004E2B7C" w:rsidRPr="0035014C" w:rsidRDefault="004E2B7C" w:rsidP="004E2B7C">
      <w:pPr>
        <w:pStyle w:val="Leipteksti"/>
        <w:spacing w:after="0"/>
        <w:ind w:left="0"/>
        <w:rPr>
          <w:sz w:val="20"/>
          <w:szCs w:val="20"/>
        </w:rPr>
      </w:pPr>
      <w:r w:rsidRPr="0035014C">
        <w:rPr>
          <w:sz w:val="20"/>
          <w:szCs w:val="20"/>
        </w:rPr>
        <w:t xml:space="preserve">Postiosoite: PL 14, 00881 Helsinki </w:t>
      </w:r>
    </w:p>
    <w:p w:rsidR="004E2B7C" w:rsidRPr="0035014C" w:rsidRDefault="004E2B7C" w:rsidP="004E2B7C">
      <w:pPr>
        <w:pStyle w:val="Leipteksti"/>
        <w:spacing w:after="0"/>
        <w:ind w:left="0"/>
        <w:rPr>
          <w:sz w:val="20"/>
          <w:szCs w:val="20"/>
        </w:rPr>
      </w:pPr>
      <w:r w:rsidRPr="0035014C">
        <w:rPr>
          <w:sz w:val="20"/>
          <w:szCs w:val="20"/>
        </w:rPr>
        <w:t>Puhelin: 09-759 881</w:t>
      </w:r>
    </w:p>
    <w:p w:rsidR="004E2B7C" w:rsidRDefault="004E2B7C" w:rsidP="004E2B7C">
      <w:pPr>
        <w:pStyle w:val="Leipteksti"/>
        <w:spacing w:after="0"/>
        <w:ind w:left="0"/>
        <w:rPr>
          <w:sz w:val="20"/>
          <w:szCs w:val="20"/>
        </w:rPr>
      </w:pPr>
      <w:r w:rsidRPr="0035014C">
        <w:rPr>
          <w:sz w:val="20"/>
          <w:szCs w:val="20"/>
        </w:rPr>
        <w:t xml:space="preserve">Määräyskokoelma: </w:t>
      </w:r>
      <w:hyperlink r:id="rId10" w:history="1">
        <w:r w:rsidRPr="00434450">
          <w:rPr>
            <w:rStyle w:val="Hyperlinkki"/>
            <w:sz w:val="20"/>
            <w:szCs w:val="20"/>
          </w:rPr>
          <w:t>http://www.finlex.fi/fi/viranomaiset/normi/555001/</w:t>
        </w:r>
      </w:hyperlink>
    </w:p>
    <w:p w:rsidR="004E2B7C" w:rsidRDefault="004E2B7C" w:rsidP="007521ED"/>
    <w:p w:rsidR="004E2B7C" w:rsidRDefault="004E2B7C" w:rsidP="007521ED"/>
    <w:p w:rsidR="004E2B7C" w:rsidRDefault="004E2B7C" w:rsidP="007521ED"/>
    <w:p w:rsidR="004E2B7C" w:rsidRDefault="004E2B7C" w:rsidP="007521ED"/>
    <w:p w:rsidR="0036489F" w:rsidRDefault="0036489F" w:rsidP="007521ED">
      <w:r>
        <w:br w:type="page"/>
      </w:r>
    </w:p>
    <w:p w:rsidR="008A2312" w:rsidRPr="005C4C70" w:rsidRDefault="008A2312" w:rsidP="008A2312">
      <w:pPr>
        <w:rPr>
          <w:b/>
        </w:rPr>
      </w:pPr>
      <w:r w:rsidRPr="005C4C70">
        <w:rPr>
          <w:b/>
        </w:rPr>
        <w:lastRenderedPageBreak/>
        <w:t>Liite 1</w:t>
      </w:r>
    </w:p>
    <w:p w:rsidR="008A2312" w:rsidRDefault="008A2312" w:rsidP="008A2312"/>
    <w:p w:rsidR="008A2312" w:rsidRDefault="008A2312" w:rsidP="008A2312">
      <w:r>
        <w:t xml:space="preserve">Ultraviolettisäteilyn efektiivinen </w:t>
      </w:r>
      <w:proofErr w:type="spellStart"/>
      <w:r>
        <w:t>irradianssi</w:t>
      </w:r>
      <w:proofErr w:type="spellEnd"/>
      <w:r>
        <w:t xml:space="preserve"> </w:t>
      </w:r>
      <w:proofErr w:type="spellStart"/>
      <w:r w:rsidRPr="00D22471">
        <w:rPr>
          <w:i/>
        </w:rPr>
        <w:t>E</w:t>
      </w:r>
      <w:r w:rsidRPr="00D22471">
        <w:rPr>
          <w:i/>
          <w:vertAlign w:val="subscript"/>
        </w:rPr>
        <w:t>ery</w:t>
      </w:r>
      <w:proofErr w:type="spellEnd"/>
      <w:r>
        <w:rPr>
          <w:i/>
          <w:vertAlign w:val="subscript"/>
        </w:rPr>
        <w:t xml:space="preserve"> </w:t>
      </w:r>
      <w:r>
        <w:t xml:space="preserve">määritetään seuraavasti </w:t>
      </w:r>
    </w:p>
    <w:p w:rsidR="008A2312" w:rsidRPr="00BA67D3" w:rsidRDefault="008A2312" w:rsidP="008A2312"/>
    <w:p w:rsidR="00DA1804" w:rsidRPr="00560510" w:rsidRDefault="00A1021A" w:rsidP="00DA1804">
      <w:pPr>
        <w:pStyle w:val="Leipteksti"/>
        <w:ind w:left="0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ery</m:t>
            </m:r>
          </m:sub>
        </m:sSub>
        <m:r>
          <w:rPr>
            <w:rFonts w:ascii="Cambria Math" w:hAnsi="Cambria Math"/>
            <w:lang w:val="en-US"/>
          </w:rPr>
          <m:t>=</m:t>
        </m:r>
        <m:nary>
          <m:naryPr>
            <m:limLoc m:val="subSup"/>
            <m:grow m:val="1"/>
            <m:ctrlPr>
              <w:rPr>
                <w:rFonts w:ascii="Cambria Math" w:hAnsi="Cambria Math"/>
                <w:i/>
              </w:rPr>
            </m:ctrlPr>
          </m:naryPr>
          <m:sub>
            <m:r>
              <m:rPr>
                <m:nor/>
              </m:rPr>
              <w:rPr>
                <w:rFonts w:ascii="Cambria Math" w:hAnsi="Cambria Math"/>
              </w:rPr>
              <m:t>λ</m:t>
            </m:r>
            <m:r>
              <m:rPr>
                <m:nor/>
              </m:rPr>
              <w:rPr>
                <w:rFonts w:ascii="Cambria Math" w:hAnsi="Cambria Math"/>
                <w:lang w:val="en-US"/>
              </w:rPr>
              <m:t>=250 nm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λ</m:t>
            </m:r>
            <m:r>
              <m:rPr>
                <m:nor/>
              </m:rPr>
              <w:rPr>
                <w:rFonts w:ascii="Cambria Math" w:hAnsi="Cambria Math"/>
                <w:lang w:val="en-US"/>
              </w:rPr>
              <m:t>=400 nm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λ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λ</m:t>
                </m:r>
              </m:e>
            </m:d>
            <m:r>
              <w:rPr>
                <w:rFonts w:ascii="Cambria Math" w:hAnsi="Cambria Math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ery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λ</m:t>
                </m:r>
              </m:e>
            </m:d>
            <m:r>
              <w:rPr>
                <w:rFonts w:ascii="Cambria Math" w:hAnsi="Cambria Math"/>
                <w:lang w:val="en-US"/>
              </w:rPr>
              <m:t>∙</m:t>
            </m:r>
            <m:r>
              <w:rPr>
                <w:rFonts w:ascii="Cambria Math" w:hAnsi="Cambria Math"/>
              </w:rPr>
              <m:t>dλ</m:t>
            </m:r>
          </m:e>
        </m:nary>
      </m:oMath>
      <w:r w:rsidR="00DA1804" w:rsidRPr="00560510">
        <w:rPr>
          <w:rFonts w:eastAsiaTheme="minorEastAsia"/>
          <w:lang w:val="en-US"/>
        </w:rPr>
        <w:t>,</w:t>
      </w:r>
    </w:p>
    <w:p w:rsidR="008A2312" w:rsidRPr="00DA1804" w:rsidRDefault="00DA1804" w:rsidP="00DA1804">
      <w:pPr>
        <w:pStyle w:val="Leipteksti"/>
        <w:ind w:left="0"/>
        <w:rPr>
          <w:rFonts w:eastAsiaTheme="minorEastAsia"/>
        </w:rPr>
      </w:pPr>
      <w:r w:rsidRPr="007A5C43">
        <w:rPr>
          <w:rFonts w:eastAsiaTheme="minorEastAsia"/>
        </w:rPr>
        <w:br/>
      </w:r>
      <w:r w:rsidR="008A2312">
        <w:rPr>
          <w:rFonts w:eastAsiaTheme="minorEastAsia"/>
        </w:rPr>
        <w:t xml:space="preserve">ja </w:t>
      </w:r>
      <w:r w:rsidR="008A2312">
        <w:t xml:space="preserve">ultraviolettisäteilyn efektiivinen energiatiheys </w:t>
      </w:r>
      <w:proofErr w:type="spellStart"/>
      <w:r w:rsidR="008A2312" w:rsidRPr="00D22471">
        <w:rPr>
          <w:i/>
        </w:rPr>
        <w:t>H</w:t>
      </w:r>
      <w:r w:rsidR="008A2312" w:rsidRPr="00D22471">
        <w:rPr>
          <w:i/>
          <w:vertAlign w:val="subscript"/>
        </w:rPr>
        <w:t>ery</w:t>
      </w:r>
      <w:proofErr w:type="spellEnd"/>
      <w:r w:rsidR="008A2312">
        <w:rPr>
          <w:i/>
          <w:vertAlign w:val="subscript"/>
        </w:rPr>
        <w:t xml:space="preserve"> </w:t>
      </w:r>
      <w:r w:rsidR="008A2312">
        <w:t>määritetään seuraavasti</w:t>
      </w:r>
    </w:p>
    <w:p w:rsidR="008A2312" w:rsidRPr="00560510" w:rsidRDefault="00A1021A" w:rsidP="008A2312">
      <w:pPr>
        <w:pStyle w:val="Leipteksti"/>
        <w:ind w:left="0"/>
        <w:jc w:val="left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ery</m:t>
            </m:r>
          </m:sub>
        </m:sSub>
        <m:r>
          <w:rPr>
            <w:rFonts w:ascii="Cambria Math" w:eastAsiaTheme="minorEastAsia" w:hAnsi="Cambria Math"/>
            <w:sz w:val="24"/>
            <w:lang w:val="en-US"/>
          </w:rPr>
          <m:t>=</m:t>
        </m:r>
        <m:nary>
          <m:naryPr>
            <m:limLoc m:val="subSup"/>
            <m:grow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lang w:val="en-US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</w:rPr>
              <m:t>t</m:t>
            </m:r>
          </m:sup>
          <m:e>
            <m:nary>
              <m:naryPr>
                <m:limLoc m:val="subSup"/>
                <m:grow m:val="1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naryPr>
              <m:sub>
                <m:r>
                  <m:rPr>
                    <m:nor/>
                  </m:rPr>
                  <w:rPr>
                    <w:rFonts w:ascii="Cambria Math" w:eastAsiaTheme="minorEastAsia" w:hAnsi="Cambria Math"/>
                    <w:sz w:val="24"/>
                  </w:rPr>
                  <m:t>λ</m:t>
                </m:r>
                <m:r>
                  <m:rPr>
                    <m:nor/>
                  </m:rPr>
                  <w:rPr>
                    <w:rFonts w:ascii="Cambria Math" w:eastAsiaTheme="minorEastAsia" w:hAnsi="Cambria Math"/>
                    <w:sz w:val="24"/>
                    <w:lang w:val="en-US"/>
                  </w:rPr>
                  <m:t>=250 nm</m:t>
                </m:r>
              </m:sub>
              <m:sup>
                <m:r>
                  <m:rPr>
                    <m:nor/>
                  </m:rPr>
                  <w:rPr>
                    <w:rFonts w:ascii="Cambria Math" w:eastAsiaTheme="minorEastAsia" w:hAnsi="Cambria Math"/>
                    <w:sz w:val="24"/>
                  </w:rPr>
                  <m:t>λ</m:t>
                </m:r>
                <m:r>
                  <m:rPr>
                    <m:nor/>
                  </m:rPr>
                  <w:rPr>
                    <w:rFonts w:ascii="Cambria Math" w:eastAsiaTheme="minorEastAsia" w:hAnsi="Cambria Math"/>
                    <w:sz w:val="24"/>
                    <w:lang w:val="en-US"/>
                  </w:rPr>
                  <m:t>=400 nm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E</m:t>
                    </m:r>
                    <m:ctrlPr>
                      <w:rPr>
                        <w:rFonts w:ascii="Cambria Math" w:eastAsiaTheme="minorEastAsia" w:hAnsi="Cambria Math" w:cs="Cambria Math"/>
                        <w:i/>
                        <w:sz w:val="24"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λ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λ</m:t>
                    </m:r>
                    <m:r>
                      <w:rPr>
                        <w:rFonts w:ascii="Cambria Math" w:eastAsiaTheme="minorEastAsia" w:hAnsi="Cambria Math"/>
                        <w:sz w:val="24"/>
                        <w:lang w:val="en-US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sz w:val="24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S</m:t>
                    </m:r>
                    <m:ctrlPr>
                      <w:rPr>
                        <w:rFonts w:ascii="Cambria Math" w:eastAsiaTheme="minorEastAsia" w:hAnsi="Cambria Math"/>
                        <w:i/>
                        <w:sz w:val="24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ery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λ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∙</m:t>
                </m:r>
                <m:r>
                  <w:rPr>
                    <w:rFonts w:ascii="Cambria Math" w:eastAsiaTheme="minorEastAsia" w:hAnsi="Cambria Math"/>
                    <w:sz w:val="24"/>
                  </w:rPr>
                  <m:t>dλ</m:t>
                </m:r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∙</m:t>
                </m:r>
                <m:r>
                  <w:rPr>
                    <w:rFonts w:ascii="Cambria Math" w:eastAsiaTheme="minorEastAsia" w:hAnsi="Cambria Math"/>
                    <w:sz w:val="24"/>
                  </w:rPr>
                  <m:t>dt</m:t>
                </m:r>
              </m:e>
            </m:nary>
          </m:e>
        </m:nary>
      </m:oMath>
      <w:r w:rsidR="00DA1804" w:rsidRPr="00560510">
        <w:rPr>
          <w:rFonts w:eastAsiaTheme="minorEastAsia"/>
          <w:sz w:val="24"/>
          <w:lang w:val="en-US"/>
        </w:rPr>
        <w:t>.</w:t>
      </w:r>
      <w:r w:rsidR="00DA1804" w:rsidRPr="00560510">
        <w:rPr>
          <w:rFonts w:eastAsiaTheme="minorEastAsia"/>
          <w:lang w:val="en-US"/>
        </w:rPr>
        <w:br/>
      </w:r>
    </w:p>
    <w:p w:rsidR="008A2312" w:rsidRPr="00BA67D3" w:rsidRDefault="008A2312" w:rsidP="008A2312">
      <w:pPr>
        <w:rPr>
          <w:rFonts w:eastAsiaTheme="minorEastAsia"/>
        </w:rPr>
      </w:pPr>
      <w:r w:rsidRPr="00BA67D3">
        <w:rPr>
          <w:rFonts w:eastAsiaTheme="minorEastAsia"/>
        </w:rPr>
        <w:t xml:space="preserve">Suhteellinen </w:t>
      </w:r>
      <w:proofErr w:type="spellStart"/>
      <w:r w:rsidRPr="00BA67D3">
        <w:rPr>
          <w:rFonts w:eastAsiaTheme="minorEastAsia"/>
        </w:rPr>
        <w:t>spektrinen</w:t>
      </w:r>
      <w:proofErr w:type="spellEnd"/>
      <w:r w:rsidRPr="00BA67D3">
        <w:rPr>
          <w:rFonts w:eastAsiaTheme="minorEastAsia"/>
        </w:rPr>
        <w:t xml:space="preserve"> herkkyy</w:t>
      </w:r>
      <w:r w:rsidR="0005522B">
        <w:rPr>
          <w:rFonts w:eastAsiaTheme="minorEastAsia"/>
        </w:rPr>
        <w:t>s</w:t>
      </w:r>
      <w:r w:rsidRPr="00BA67D3">
        <w:rPr>
          <w:rFonts w:eastAsiaTheme="minorEastAsia"/>
        </w:rPr>
        <w:t xml:space="preserve">kerroin </w:t>
      </w:r>
      <w:proofErr w:type="spellStart"/>
      <w:r w:rsidRPr="00BA67D3">
        <w:rPr>
          <w:i/>
        </w:rPr>
        <w:t>S</w:t>
      </w:r>
      <w:r w:rsidRPr="00BA67D3">
        <w:rPr>
          <w:i/>
          <w:vertAlign w:val="subscript"/>
        </w:rPr>
        <w:t>ery</w:t>
      </w:r>
      <w:r w:rsidRPr="00BA67D3">
        <w:t>(</w:t>
      </w:r>
      <w:r w:rsidRPr="00BA67D3">
        <w:rPr>
          <w:i/>
        </w:rPr>
        <w:t>λ</w:t>
      </w:r>
      <w:proofErr w:type="spellEnd"/>
      <w:r w:rsidRPr="00BA67D3">
        <w:t>)</w:t>
      </w:r>
      <w:r w:rsidRPr="00BA67D3">
        <w:rPr>
          <w:b/>
        </w:rPr>
        <w:t xml:space="preserve"> </w:t>
      </w:r>
      <w:r>
        <w:rPr>
          <w:rFonts w:eastAsiaTheme="minorEastAsia"/>
        </w:rPr>
        <w:t>määritetään</w:t>
      </w:r>
      <w:r w:rsidRPr="00BA67D3">
        <w:rPr>
          <w:rFonts w:eastAsiaTheme="minorEastAsia"/>
        </w:rPr>
        <w:t xml:space="preserve"> seuraavasti:</w:t>
      </w:r>
    </w:p>
    <w:p w:rsidR="008A2312" w:rsidRPr="00BA67D3" w:rsidRDefault="008A2312" w:rsidP="008A2312">
      <w:pPr>
        <w:rPr>
          <w:rFonts w:eastAsiaTheme="minorEastAsia"/>
        </w:rPr>
      </w:pPr>
    </w:p>
    <w:p w:rsidR="008A2312" w:rsidRPr="00BA67D3" w:rsidRDefault="008A2312" w:rsidP="008A2312">
      <w:pPr>
        <w:rPr>
          <w:rFonts w:eastAsiaTheme="minorEastAsia"/>
        </w:rPr>
      </w:pPr>
    </w:p>
    <w:p w:rsidR="008A2312" w:rsidRPr="002A17F5" w:rsidRDefault="008A2312" w:rsidP="008A2312">
      <w:pPr>
        <w:pStyle w:val="Leipteksti"/>
        <w:ind w:left="2608" w:hanging="1304"/>
        <w:rPr>
          <w:b/>
          <w:lang w:val="en-US"/>
        </w:rPr>
      </w:pPr>
      <w:proofErr w:type="spellStart"/>
      <w:r w:rsidRPr="002A17F5">
        <w:rPr>
          <w:b/>
          <w:i/>
          <w:lang w:val="en-US"/>
        </w:rPr>
        <w:t>S</w:t>
      </w:r>
      <w:r w:rsidRPr="002A17F5">
        <w:rPr>
          <w:b/>
          <w:i/>
          <w:vertAlign w:val="subscript"/>
          <w:lang w:val="en-US"/>
        </w:rPr>
        <w:t>ery</w:t>
      </w:r>
      <w:proofErr w:type="spellEnd"/>
      <w:r w:rsidRPr="002A17F5">
        <w:rPr>
          <w:b/>
          <w:lang w:val="en-US"/>
        </w:rPr>
        <w:t>(</w:t>
      </w:r>
      <w:r w:rsidRPr="002A17F5">
        <w:rPr>
          <w:b/>
          <w:i/>
        </w:rPr>
        <w:t>λ</w:t>
      </w:r>
      <w:r w:rsidRPr="002A17F5">
        <w:rPr>
          <w:b/>
          <w:lang w:val="en-US"/>
        </w:rPr>
        <w:t>) [</w:t>
      </w:r>
      <w:proofErr w:type="spellStart"/>
      <w:r w:rsidRPr="002A17F5">
        <w:rPr>
          <w:b/>
          <w:lang w:val="en-US"/>
        </w:rPr>
        <w:t>dimensioton</w:t>
      </w:r>
      <w:proofErr w:type="spellEnd"/>
      <w:r w:rsidRPr="002A17F5">
        <w:rPr>
          <w:b/>
          <w:lang w:val="en-US"/>
        </w:rPr>
        <w:t>] 250  nm – 400 nm</w:t>
      </w:r>
    </w:p>
    <w:tbl>
      <w:tblPr>
        <w:tblStyle w:val="TaulukkoRuudukko"/>
        <w:tblW w:w="0" w:type="auto"/>
        <w:jc w:val="center"/>
        <w:tblLook w:val="04A0" w:firstRow="1" w:lastRow="0" w:firstColumn="1" w:lastColumn="0" w:noHBand="0" w:noVBand="1"/>
      </w:tblPr>
      <w:tblGrid>
        <w:gridCol w:w="3667"/>
        <w:gridCol w:w="3579"/>
      </w:tblGrid>
      <w:tr w:rsidR="008A2312" w:rsidTr="000A523B">
        <w:trPr>
          <w:jc w:val="center"/>
        </w:trPr>
        <w:tc>
          <w:tcPr>
            <w:tcW w:w="3667" w:type="dxa"/>
          </w:tcPr>
          <w:p w:rsidR="008A2312" w:rsidRPr="00925181" w:rsidRDefault="008A2312" w:rsidP="000A523B">
            <w:pPr>
              <w:pStyle w:val="Leipteksti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</w:t>
            </w:r>
            <w:r w:rsidRPr="00925181">
              <w:rPr>
                <w:lang w:val="en-US"/>
              </w:rPr>
              <w:t>allonpituus</w:t>
            </w:r>
            <w:proofErr w:type="spellEnd"/>
            <w:r w:rsidRPr="00925181">
              <w:rPr>
                <w:lang w:val="en-US"/>
              </w:rPr>
              <w:t xml:space="preserve"> [nm]</w:t>
            </w:r>
          </w:p>
        </w:tc>
        <w:tc>
          <w:tcPr>
            <w:tcW w:w="3579" w:type="dxa"/>
          </w:tcPr>
          <w:p w:rsidR="008A2312" w:rsidRDefault="008A2312" w:rsidP="000A523B">
            <w:pPr>
              <w:pStyle w:val="Leipteksti"/>
              <w:ind w:left="0"/>
              <w:rPr>
                <w:b/>
                <w:lang w:val="en-US"/>
              </w:rPr>
            </w:pPr>
            <w:proofErr w:type="spellStart"/>
            <w:r w:rsidRPr="00925181">
              <w:rPr>
                <w:i/>
                <w:lang w:val="en-US"/>
              </w:rPr>
              <w:t>S</w:t>
            </w:r>
            <w:r>
              <w:rPr>
                <w:i/>
                <w:vertAlign w:val="subscript"/>
                <w:lang w:val="en-US"/>
              </w:rPr>
              <w:t>ery</w:t>
            </w:r>
            <w:proofErr w:type="spellEnd"/>
            <w:r w:rsidRPr="00925181">
              <w:rPr>
                <w:lang w:val="en-US"/>
              </w:rPr>
              <w:t>(</w:t>
            </w:r>
            <w:r w:rsidRPr="006431D9">
              <w:rPr>
                <w:i/>
              </w:rPr>
              <w:sym w:font="Symbol" w:char="F06C"/>
            </w:r>
            <w:r>
              <w:rPr>
                <w:lang w:val="en-US"/>
              </w:rPr>
              <w:t xml:space="preserve">) </w:t>
            </w:r>
          </w:p>
        </w:tc>
      </w:tr>
      <w:tr w:rsidR="008A2312" w:rsidTr="000A523B">
        <w:trPr>
          <w:jc w:val="center"/>
        </w:trPr>
        <w:tc>
          <w:tcPr>
            <w:tcW w:w="3667" w:type="dxa"/>
          </w:tcPr>
          <w:p w:rsidR="008A2312" w:rsidRDefault="008A2312" w:rsidP="000A523B">
            <w:pPr>
              <w:pStyle w:val="Leipteksti"/>
              <w:ind w:left="0"/>
              <w:rPr>
                <w:b/>
                <w:lang w:val="en-US"/>
              </w:rPr>
            </w:pPr>
            <w:r w:rsidRPr="00925181">
              <w:rPr>
                <w:lang w:val="en-US"/>
              </w:rPr>
              <w:t xml:space="preserve">250  </w:t>
            </w:r>
            <w:r>
              <w:sym w:font="Symbol" w:char="F0A3"/>
            </w:r>
            <w:r w:rsidRPr="00925181">
              <w:rPr>
                <w:lang w:val="en-US"/>
              </w:rPr>
              <w:t xml:space="preserve"> </w:t>
            </w:r>
            <w:r w:rsidRPr="006431D9">
              <w:rPr>
                <w:i/>
              </w:rPr>
              <w:sym w:font="Symbol" w:char="F06C"/>
            </w:r>
            <w:r w:rsidRPr="00925181">
              <w:rPr>
                <w:lang w:val="en-US"/>
              </w:rPr>
              <w:t xml:space="preserve"> </w:t>
            </w:r>
            <w:r>
              <w:sym w:font="Symbol" w:char="F0A3"/>
            </w:r>
            <w:r>
              <w:rPr>
                <w:lang w:val="en-US"/>
              </w:rPr>
              <w:t xml:space="preserve"> 298 </w:t>
            </w:r>
          </w:p>
        </w:tc>
        <w:tc>
          <w:tcPr>
            <w:tcW w:w="3579" w:type="dxa"/>
          </w:tcPr>
          <w:p w:rsidR="008A2312" w:rsidRDefault="008A2312" w:rsidP="000A523B">
            <w:pPr>
              <w:pStyle w:val="Leipteksti"/>
              <w:ind w:left="0"/>
              <w:rPr>
                <w:b/>
                <w:lang w:val="en-US"/>
              </w:rPr>
            </w:pPr>
            <w:r w:rsidRPr="00925181">
              <w:rPr>
                <w:lang w:val="en-US"/>
              </w:rPr>
              <w:t>1</w:t>
            </w:r>
          </w:p>
        </w:tc>
      </w:tr>
      <w:tr w:rsidR="008A2312" w:rsidTr="000A523B">
        <w:trPr>
          <w:jc w:val="center"/>
        </w:trPr>
        <w:tc>
          <w:tcPr>
            <w:tcW w:w="3667" w:type="dxa"/>
          </w:tcPr>
          <w:p w:rsidR="008A2312" w:rsidRDefault="008A2312" w:rsidP="000A523B">
            <w:pPr>
              <w:pStyle w:val="Leipteksti"/>
              <w:ind w:left="0"/>
              <w:rPr>
                <w:b/>
                <w:lang w:val="en-US"/>
              </w:rPr>
            </w:pPr>
            <w:r>
              <w:rPr>
                <w:lang w:val="en-US"/>
              </w:rPr>
              <w:t xml:space="preserve">298 </w:t>
            </w:r>
            <w:r w:rsidRPr="00925181">
              <w:rPr>
                <w:lang w:val="en-US"/>
              </w:rPr>
              <w:t xml:space="preserve"> &lt; </w:t>
            </w:r>
            <w:r w:rsidRPr="006431D9">
              <w:rPr>
                <w:i/>
              </w:rPr>
              <w:sym w:font="Symbol" w:char="F06C"/>
            </w:r>
            <w:r w:rsidRPr="00925181">
              <w:rPr>
                <w:lang w:val="en-US"/>
              </w:rPr>
              <w:t xml:space="preserve"> </w:t>
            </w:r>
            <w:r>
              <w:sym w:font="Symbol" w:char="F0A3"/>
            </w:r>
            <w:r>
              <w:rPr>
                <w:lang w:val="en-US"/>
              </w:rPr>
              <w:t xml:space="preserve"> 328 </w:t>
            </w:r>
          </w:p>
        </w:tc>
        <w:tc>
          <w:tcPr>
            <w:tcW w:w="3579" w:type="dxa"/>
          </w:tcPr>
          <w:p w:rsidR="008A2312" w:rsidRDefault="008A2312" w:rsidP="000A523B">
            <w:pPr>
              <w:pStyle w:val="Leipteksti"/>
              <w:ind w:left="0"/>
              <w:rPr>
                <w:b/>
                <w:lang w:val="en-US"/>
              </w:rPr>
            </w:pPr>
            <w:r w:rsidRPr="00925181">
              <w:rPr>
                <w:lang w:val="en-US"/>
              </w:rPr>
              <w:t>10</w:t>
            </w:r>
            <w:r w:rsidRPr="00925181">
              <w:rPr>
                <w:vertAlign w:val="superscript"/>
                <w:lang w:val="en-US"/>
              </w:rPr>
              <w:t>0,094(298-</w:t>
            </w:r>
            <w:r>
              <w:rPr>
                <w:vertAlign w:val="superscript"/>
                <w:lang w:val="en-GB"/>
              </w:rPr>
              <w:t>λ</w:t>
            </w:r>
            <w:r w:rsidRPr="00925181">
              <w:rPr>
                <w:vertAlign w:val="superscript"/>
                <w:lang w:val="en-US"/>
              </w:rPr>
              <w:t>)</w:t>
            </w:r>
          </w:p>
        </w:tc>
      </w:tr>
      <w:tr w:rsidR="008A2312" w:rsidTr="000A523B">
        <w:trPr>
          <w:jc w:val="center"/>
        </w:trPr>
        <w:tc>
          <w:tcPr>
            <w:tcW w:w="3667" w:type="dxa"/>
          </w:tcPr>
          <w:p w:rsidR="008A2312" w:rsidRDefault="008A2312" w:rsidP="000A523B">
            <w:pPr>
              <w:pStyle w:val="Leipteksti"/>
              <w:ind w:left="0"/>
              <w:rPr>
                <w:b/>
                <w:lang w:val="en-US"/>
              </w:rPr>
            </w:pPr>
            <w:r>
              <w:rPr>
                <w:lang w:val="en-US"/>
              </w:rPr>
              <w:t xml:space="preserve">328 </w:t>
            </w:r>
            <w:r w:rsidRPr="00925181">
              <w:rPr>
                <w:lang w:val="en-US"/>
              </w:rPr>
              <w:t xml:space="preserve"> &lt; </w:t>
            </w:r>
            <w:r w:rsidRPr="006431D9">
              <w:rPr>
                <w:i/>
              </w:rPr>
              <w:sym w:font="Symbol" w:char="F06C"/>
            </w:r>
            <w:r w:rsidRPr="00925181">
              <w:rPr>
                <w:lang w:val="en-US"/>
              </w:rPr>
              <w:t xml:space="preserve"> </w:t>
            </w:r>
            <w:r>
              <w:sym w:font="Symbol" w:char="F0A3"/>
            </w:r>
            <w:r w:rsidRPr="00925181">
              <w:rPr>
                <w:lang w:val="en-US"/>
              </w:rPr>
              <w:t xml:space="preserve"> 400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579" w:type="dxa"/>
          </w:tcPr>
          <w:p w:rsidR="008A2312" w:rsidRDefault="008A2312" w:rsidP="000A523B">
            <w:pPr>
              <w:pStyle w:val="Leipteksti"/>
              <w:ind w:left="0"/>
              <w:rPr>
                <w:b/>
                <w:lang w:val="en-US"/>
              </w:rPr>
            </w:pPr>
            <w:r w:rsidRPr="00925181">
              <w:rPr>
                <w:lang w:val="en-US"/>
              </w:rPr>
              <w:t>10</w:t>
            </w:r>
            <w:r w:rsidRPr="00925181">
              <w:rPr>
                <w:vertAlign w:val="superscript"/>
                <w:lang w:val="en-US"/>
              </w:rPr>
              <w:t>0,015(140-</w:t>
            </w:r>
            <w:r>
              <w:rPr>
                <w:vertAlign w:val="superscript"/>
                <w:lang w:val="en-GB"/>
              </w:rPr>
              <w:t>λ</w:t>
            </w:r>
            <w:r w:rsidRPr="00925181">
              <w:rPr>
                <w:vertAlign w:val="superscript"/>
                <w:lang w:val="en-US"/>
              </w:rPr>
              <w:t>)</w:t>
            </w:r>
          </w:p>
        </w:tc>
      </w:tr>
    </w:tbl>
    <w:p w:rsidR="008A2312" w:rsidRDefault="008A2312" w:rsidP="00E21BA5"/>
    <w:sectPr w:rsidR="008A2312" w:rsidSect="00787975">
      <w:headerReference w:type="default" r:id="rId11"/>
      <w:pgSz w:w="11906" w:h="16838"/>
      <w:pgMar w:top="1134" w:right="1134" w:bottom="170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23B" w:rsidRDefault="000A523B" w:rsidP="001D19F9">
      <w:r>
        <w:separator/>
      </w:r>
    </w:p>
  </w:endnote>
  <w:endnote w:type="continuationSeparator" w:id="0">
    <w:p w:rsidR="000A523B" w:rsidRDefault="000A523B" w:rsidP="001D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23B" w:rsidRDefault="000A523B" w:rsidP="001D19F9">
      <w:r>
        <w:separator/>
      </w:r>
    </w:p>
  </w:footnote>
  <w:footnote w:type="continuationSeparator" w:id="0">
    <w:p w:rsidR="000A523B" w:rsidRDefault="000A523B" w:rsidP="001D1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unaton"/>
      <w:tblW w:w="5000" w:type="pct"/>
      <w:tblLook w:val="04A0" w:firstRow="1" w:lastRow="0" w:firstColumn="1" w:lastColumn="0" w:noHBand="0" w:noVBand="1"/>
    </w:tblPr>
    <w:tblGrid>
      <w:gridCol w:w="4968"/>
      <w:gridCol w:w="2485"/>
      <w:gridCol w:w="1427"/>
      <w:gridCol w:w="974"/>
    </w:tblGrid>
    <w:tr w:rsidR="007521ED" w:rsidTr="00AB23F0">
      <w:tc>
        <w:tcPr>
          <w:tcW w:w="2521" w:type="pct"/>
        </w:tcPr>
        <w:p w:rsidR="007521ED" w:rsidRPr="004008A8" w:rsidRDefault="007521ED" w:rsidP="00B71099">
          <w:pPr>
            <w:pStyle w:val="Yltunniste"/>
            <w:rPr>
              <w:b/>
            </w:rPr>
          </w:pPr>
          <w:r w:rsidRPr="00392CF0">
            <w:rPr>
              <w:b/>
              <w:noProof/>
              <w:lang w:eastAsia="fi-FI"/>
            </w:rPr>
            <w:drawing>
              <wp:anchor distT="0" distB="0" distL="114300" distR="114300" simplePos="0" relativeHeight="251659264" behindDoc="0" locked="1" layoutInCell="1" allowOverlap="1" wp14:anchorId="06CEA66C" wp14:editId="40D32DCA">
                <wp:simplePos x="0" y="0"/>
                <wp:positionH relativeFrom="column">
                  <wp:posOffset>22860</wp:posOffset>
                </wp:positionH>
                <wp:positionV relativeFrom="paragraph">
                  <wp:posOffset>-151765</wp:posOffset>
                </wp:positionV>
                <wp:extent cx="1257300" cy="325755"/>
                <wp:effectExtent l="19050" t="0" r="0" b="0"/>
                <wp:wrapNone/>
                <wp:docPr id="5" name="Picture 0" descr="STUK_logo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UK_logo.e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325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61" w:type="pct"/>
        </w:tcPr>
        <w:p w:rsidR="007521ED" w:rsidRPr="007521ED" w:rsidRDefault="007521ED" w:rsidP="00F83356">
          <w:pPr>
            <w:pStyle w:val="Yltunniste"/>
          </w:pPr>
          <w:r w:rsidRPr="007521ED">
            <w:t>#1807379</w:t>
          </w:r>
        </w:p>
      </w:tc>
      <w:tc>
        <w:tcPr>
          <w:tcW w:w="724" w:type="pct"/>
        </w:tcPr>
        <w:p w:rsidR="007521ED" w:rsidRPr="001D19F9" w:rsidRDefault="007521ED" w:rsidP="00FC57CF">
          <w:pPr>
            <w:pStyle w:val="Yltunniste"/>
          </w:pPr>
        </w:p>
      </w:tc>
      <w:tc>
        <w:tcPr>
          <w:tcW w:w="494" w:type="pct"/>
        </w:tcPr>
        <w:p w:rsidR="007521ED" w:rsidRDefault="007521ED" w:rsidP="00F83356">
          <w:pPr>
            <w:pStyle w:val="Yltunnis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1021A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(</w:t>
          </w:r>
          <w:r w:rsidR="00A1021A">
            <w:fldChar w:fldCharType="begin"/>
          </w:r>
          <w:r w:rsidR="00A1021A">
            <w:instrText xml:space="preserve"> NUMPAGES   \* MERGEFORMAT </w:instrText>
          </w:r>
          <w:r w:rsidR="00A1021A">
            <w:fldChar w:fldCharType="separate"/>
          </w:r>
          <w:r w:rsidR="00A1021A">
            <w:rPr>
              <w:noProof/>
            </w:rPr>
            <w:t>4</w:t>
          </w:r>
          <w:r w:rsidR="00A1021A">
            <w:rPr>
              <w:noProof/>
            </w:rPr>
            <w:fldChar w:fldCharType="end"/>
          </w:r>
          <w:r>
            <w:t>)</w:t>
          </w:r>
        </w:p>
      </w:tc>
    </w:tr>
    <w:tr w:rsidR="007521ED" w:rsidTr="00AB23F0">
      <w:tc>
        <w:tcPr>
          <w:tcW w:w="2521" w:type="pct"/>
        </w:tcPr>
        <w:p w:rsidR="007521ED" w:rsidRPr="001D19F9" w:rsidRDefault="007521ED" w:rsidP="004008A8">
          <w:pPr>
            <w:pStyle w:val="Yltunniste"/>
          </w:pPr>
        </w:p>
      </w:tc>
      <w:tc>
        <w:tcPr>
          <w:tcW w:w="1261" w:type="pct"/>
        </w:tcPr>
        <w:p w:rsidR="007521ED" w:rsidRPr="001D19F9" w:rsidRDefault="007521ED" w:rsidP="00FC57CF">
          <w:pPr>
            <w:pStyle w:val="Yltunniste"/>
          </w:pPr>
        </w:p>
      </w:tc>
      <w:tc>
        <w:tcPr>
          <w:tcW w:w="1218" w:type="pct"/>
          <w:gridSpan w:val="2"/>
        </w:tcPr>
        <w:p w:rsidR="007521ED" w:rsidRPr="001D19F9" w:rsidRDefault="007521ED" w:rsidP="00B71099">
          <w:pPr>
            <w:pStyle w:val="Yltunniste"/>
          </w:pPr>
        </w:p>
      </w:tc>
    </w:tr>
    <w:tr w:rsidR="007521ED" w:rsidTr="00AB23F0">
      <w:tc>
        <w:tcPr>
          <w:tcW w:w="2521" w:type="pct"/>
        </w:tcPr>
        <w:p w:rsidR="007521ED" w:rsidRPr="001D19F9" w:rsidRDefault="007521ED" w:rsidP="00B71099">
          <w:pPr>
            <w:pStyle w:val="Yltunniste"/>
          </w:pPr>
        </w:p>
      </w:tc>
      <w:tc>
        <w:tcPr>
          <w:tcW w:w="1261" w:type="pct"/>
        </w:tcPr>
        <w:p w:rsidR="007521ED" w:rsidRPr="001D19F9" w:rsidRDefault="007521ED" w:rsidP="00B71099">
          <w:pPr>
            <w:pStyle w:val="Yltunniste"/>
          </w:pPr>
        </w:p>
      </w:tc>
      <w:tc>
        <w:tcPr>
          <w:tcW w:w="1218" w:type="pct"/>
          <w:gridSpan w:val="2"/>
        </w:tcPr>
        <w:p w:rsidR="007521ED" w:rsidRPr="001D19F9" w:rsidRDefault="00984D9C" w:rsidP="00FC57CF">
          <w:pPr>
            <w:pStyle w:val="Yltunniste"/>
          </w:pPr>
          <w:r>
            <w:t>12/0008/2018</w:t>
          </w:r>
        </w:p>
      </w:tc>
    </w:tr>
    <w:tr w:rsidR="007521ED" w:rsidTr="00AB23F0">
      <w:tc>
        <w:tcPr>
          <w:tcW w:w="2521" w:type="pct"/>
        </w:tcPr>
        <w:p w:rsidR="007521ED" w:rsidRPr="001D19F9" w:rsidRDefault="007521ED" w:rsidP="00B71099">
          <w:pPr>
            <w:pStyle w:val="Yltunniste"/>
          </w:pPr>
        </w:p>
      </w:tc>
      <w:tc>
        <w:tcPr>
          <w:tcW w:w="1261" w:type="pct"/>
        </w:tcPr>
        <w:p w:rsidR="007521ED" w:rsidRPr="001D19F9" w:rsidRDefault="0023316D" w:rsidP="004008A8">
          <w:pPr>
            <w:pStyle w:val="Yltunniste"/>
          </w:pPr>
          <w:r>
            <w:t>6.11.2018</w:t>
          </w:r>
        </w:p>
      </w:tc>
      <w:tc>
        <w:tcPr>
          <w:tcW w:w="1218" w:type="pct"/>
          <w:gridSpan w:val="2"/>
        </w:tcPr>
        <w:p w:rsidR="007521ED" w:rsidRPr="001D19F9" w:rsidRDefault="007521ED" w:rsidP="00925DE6">
          <w:pPr>
            <w:pStyle w:val="Yltunniste"/>
          </w:pPr>
        </w:p>
      </w:tc>
    </w:tr>
  </w:tbl>
  <w:p w:rsidR="000A523B" w:rsidRDefault="000A523B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020D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C6429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F24D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F1ED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585C5F"/>
    <w:multiLevelType w:val="multilevel"/>
    <w:tmpl w:val="ACEEC7CC"/>
    <w:numStyleLink w:val="MerkittyluetteloSTUK"/>
  </w:abstractNum>
  <w:abstractNum w:abstractNumId="5">
    <w:nsid w:val="0A1C167E"/>
    <w:multiLevelType w:val="hybridMultilevel"/>
    <w:tmpl w:val="C79C5050"/>
    <w:lvl w:ilvl="0" w:tplc="D24EBC2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A0977"/>
    <w:multiLevelType w:val="multilevel"/>
    <w:tmpl w:val="36DC0002"/>
    <w:styleLink w:val="NumeroituluetteloSTUK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mbria" w:hAnsi="Cambria" w:hint="default"/>
      </w:rPr>
    </w:lvl>
    <w:lvl w:ilvl="2">
      <w:start w:val="1"/>
      <w:numFmt w:val="bullet"/>
      <w:lvlText w:val=""/>
      <w:lvlJc w:val="left"/>
      <w:pPr>
        <w:ind w:left="2495" w:hanging="397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892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mbria" w:hAnsi="Cambria" w:hint="default"/>
      </w:rPr>
    </w:lvl>
    <w:lvl w:ilvl="5">
      <w:start w:val="1"/>
      <w:numFmt w:val="bullet"/>
      <w:lvlText w:val=""/>
      <w:lvlJc w:val="left"/>
      <w:pPr>
        <w:ind w:left="3686" w:hanging="397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mbria" w:hAnsi="Cambria" w:hint="default"/>
      </w:rPr>
    </w:lvl>
    <w:lvl w:ilvl="8">
      <w:start w:val="1"/>
      <w:numFmt w:val="bullet"/>
      <w:lvlText w:val=""/>
      <w:lvlJc w:val="left"/>
      <w:pPr>
        <w:ind w:left="4877" w:hanging="397"/>
      </w:pPr>
      <w:rPr>
        <w:rFonts w:ascii="Wingdings" w:hAnsi="Wingdings" w:hint="default"/>
      </w:rPr>
    </w:lvl>
  </w:abstractNum>
  <w:abstractNum w:abstractNumId="7">
    <w:nsid w:val="0BE635A1"/>
    <w:multiLevelType w:val="multilevel"/>
    <w:tmpl w:val="ACEEC7CC"/>
    <w:styleLink w:val="MerkittyluetteloSTUK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mbria" w:hAnsi="Cambria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mbria" w:hAnsi="Cambria" w:hint="default"/>
      </w:rPr>
    </w:lvl>
    <w:lvl w:ilvl="2">
      <w:start w:val="1"/>
      <w:numFmt w:val="bullet"/>
      <w:lvlText w:val=""/>
      <w:lvlJc w:val="left"/>
      <w:pPr>
        <w:ind w:left="2495" w:hanging="397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892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mbria" w:hAnsi="Cambria" w:hint="default"/>
      </w:rPr>
    </w:lvl>
    <w:lvl w:ilvl="5">
      <w:start w:val="1"/>
      <w:numFmt w:val="bullet"/>
      <w:lvlText w:val=""/>
      <w:lvlJc w:val="left"/>
      <w:pPr>
        <w:ind w:left="3686" w:hanging="397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mbria" w:hAnsi="Cambria" w:hint="default"/>
      </w:rPr>
    </w:lvl>
    <w:lvl w:ilvl="8">
      <w:start w:val="1"/>
      <w:numFmt w:val="bullet"/>
      <w:lvlText w:val=""/>
      <w:lvlJc w:val="left"/>
      <w:pPr>
        <w:ind w:left="4877" w:hanging="397"/>
      </w:pPr>
      <w:rPr>
        <w:rFonts w:ascii="Wingdings" w:hAnsi="Wingdings" w:hint="default"/>
      </w:rPr>
    </w:lvl>
  </w:abstractNum>
  <w:abstractNum w:abstractNumId="8">
    <w:nsid w:val="18996B71"/>
    <w:multiLevelType w:val="multilevel"/>
    <w:tmpl w:val="8CAAFFB6"/>
    <w:styleLink w:val="Stuknumeroituluettelo2"/>
    <w:lvl w:ilvl="0">
      <w:start w:val="1"/>
      <w:numFmt w:val="decimal"/>
      <w:pStyle w:val="Numeroituluettelo2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098" w:hanging="3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95" w:hanging="39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92" w:hanging="39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3289" w:hanging="39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3686" w:hanging="39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4083" w:hanging="39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480" w:hanging="39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4877" w:hanging="397"/>
      </w:pPr>
      <w:rPr>
        <w:rFonts w:hint="default"/>
      </w:rPr>
    </w:lvl>
  </w:abstractNum>
  <w:abstractNum w:abstractNumId="9">
    <w:nsid w:val="1B861C45"/>
    <w:multiLevelType w:val="hybridMultilevel"/>
    <w:tmpl w:val="5352FE6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B416A"/>
    <w:multiLevelType w:val="hybridMultilevel"/>
    <w:tmpl w:val="6EEE198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70FD9"/>
    <w:multiLevelType w:val="multilevel"/>
    <w:tmpl w:val="57E2D19C"/>
    <w:numStyleLink w:val="Stukmerkittyluettelo2"/>
  </w:abstractNum>
  <w:abstractNum w:abstractNumId="12">
    <w:nsid w:val="2E133F6A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FC839F5"/>
    <w:multiLevelType w:val="hybridMultilevel"/>
    <w:tmpl w:val="48F2CE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A48AE"/>
    <w:multiLevelType w:val="hybridMultilevel"/>
    <w:tmpl w:val="960A6DD8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53266"/>
    <w:multiLevelType w:val="hybridMultilevel"/>
    <w:tmpl w:val="F508FA3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84E5A"/>
    <w:multiLevelType w:val="multilevel"/>
    <w:tmpl w:val="57E2D19C"/>
    <w:styleLink w:val="Stukmerkittyluettelo2"/>
    <w:lvl w:ilvl="0">
      <w:start w:val="1"/>
      <w:numFmt w:val="bullet"/>
      <w:pStyle w:val="Merkittyluettelo2"/>
      <w:lvlText w:val="–"/>
      <w:lvlJc w:val="left"/>
      <w:pPr>
        <w:ind w:left="1701" w:hanging="397"/>
      </w:pPr>
      <w:rPr>
        <w:rFonts w:ascii="Cambria" w:hAnsi="Cambria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mbria" w:hAnsi="Cambria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mbria" w:hAnsi="Cambria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mbria" w:hAnsi="Cambria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mbria" w:hAnsi="Cambria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mbria" w:hAnsi="Cambria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mbria" w:hAnsi="Cambria" w:hint="default"/>
      </w:rPr>
    </w:lvl>
  </w:abstractNum>
  <w:abstractNum w:abstractNumId="17">
    <w:nsid w:val="56AF376F"/>
    <w:multiLevelType w:val="hybridMultilevel"/>
    <w:tmpl w:val="B2C2585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521BA"/>
    <w:multiLevelType w:val="hybridMultilevel"/>
    <w:tmpl w:val="16FC03A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311C06"/>
    <w:multiLevelType w:val="hybridMultilevel"/>
    <w:tmpl w:val="47865EBA"/>
    <w:lvl w:ilvl="0" w:tplc="9B2C93C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D405BE"/>
    <w:multiLevelType w:val="multilevel"/>
    <w:tmpl w:val="8CAAFFB6"/>
    <w:numStyleLink w:val="Stuknumeroituluettelo2"/>
  </w:abstractNum>
  <w:abstractNum w:abstractNumId="21">
    <w:nsid w:val="798D57E7"/>
    <w:multiLevelType w:val="hybridMultilevel"/>
    <w:tmpl w:val="239CA23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D854F4"/>
    <w:multiLevelType w:val="multilevel"/>
    <w:tmpl w:val="36DC0002"/>
    <w:numStyleLink w:val="NumeroituluetteloSTUK"/>
  </w:abstractNum>
  <w:num w:numId="1">
    <w:abstractNumId w:val="3"/>
  </w:num>
  <w:num w:numId="2">
    <w:abstractNumId w:val="2"/>
  </w:num>
  <w:num w:numId="3">
    <w:abstractNumId w:val="7"/>
  </w:num>
  <w:num w:numId="4">
    <w:abstractNumId w:val="12"/>
  </w:num>
  <w:num w:numId="5">
    <w:abstractNumId w:val="6"/>
  </w:num>
  <w:num w:numId="6">
    <w:abstractNumId w:val="4"/>
  </w:num>
  <w:num w:numId="7">
    <w:abstractNumId w:val="1"/>
  </w:num>
  <w:num w:numId="8">
    <w:abstractNumId w:val="11"/>
  </w:num>
  <w:num w:numId="9">
    <w:abstractNumId w:val="22"/>
  </w:num>
  <w:num w:numId="10">
    <w:abstractNumId w:val="0"/>
  </w:num>
  <w:num w:numId="11">
    <w:abstractNumId w:val="20"/>
  </w:num>
  <w:num w:numId="12">
    <w:abstractNumId w:val="7"/>
  </w:num>
  <w:num w:numId="13">
    <w:abstractNumId w:val="6"/>
  </w:num>
  <w:num w:numId="14">
    <w:abstractNumId w:val="16"/>
  </w:num>
  <w:num w:numId="15">
    <w:abstractNumId w:val="8"/>
  </w:num>
  <w:num w:numId="16">
    <w:abstractNumId w:val="4"/>
  </w:num>
  <w:num w:numId="17">
    <w:abstractNumId w:val="11"/>
  </w:num>
  <w:num w:numId="18">
    <w:abstractNumId w:val="22"/>
  </w:num>
  <w:num w:numId="19">
    <w:abstractNumId w:val="20"/>
  </w:num>
  <w:num w:numId="20">
    <w:abstractNumId w:val="7"/>
  </w:num>
  <w:num w:numId="21">
    <w:abstractNumId w:val="6"/>
  </w:num>
  <w:num w:numId="22">
    <w:abstractNumId w:val="16"/>
  </w:num>
  <w:num w:numId="23">
    <w:abstractNumId w:val="8"/>
  </w:num>
  <w:num w:numId="24">
    <w:abstractNumId w:val="17"/>
  </w:num>
  <w:num w:numId="25">
    <w:abstractNumId w:val="13"/>
  </w:num>
  <w:num w:numId="26">
    <w:abstractNumId w:val="14"/>
  </w:num>
  <w:num w:numId="27">
    <w:abstractNumId w:val="15"/>
  </w:num>
  <w:num w:numId="28">
    <w:abstractNumId w:val="19"/>
  </w:num>
  <w:num w:numId="29">
    <w:abstractNumId w:val="10"/>
  </w:num>
  <w:num w:numId="30">
    <w:abstractNumId w:val="21"/>
  </w:num>
  <w:num w:numId="31">
    <w:abstractNumId w:val="18"/>
  </w:num>
  <w:num w:numId="32">
    <w:abstractNumId w:val="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A3"/>
    <w:rsid w:val="00004190"/>
    <w:rsid w:val="000134E1"/>
    <w:rsid w:val="000148B7"/>
    <w:rsid w:val="00016642"/>
    <w:rsid w:val="000302CB"/>
    <w:rsid w:val="00036B3A"/>
    <w:rsid w:val="0004413F"/>
    <w:rsid w:val="00045103"/>
    <w:rsid w:val="0005522B"/>
    <w:rsid w:val="00074532"/>
    <w:rsid w:val="000A4A41"/>
    <w:rsid w:val="000A523B"/>
    <w:rsid w:val="000A70D1"/>
    <w:rsid w:val="000B2382"/>
    <w:rsid w:val="000C5586"/>
    <w:rsid w:val="000E04F3"/>
    <w:rsid w:val="000E0D26"/>
    <w:rsid w:val="000E125D"/>
    <w:rsid w:val="000E4238"/>
    <w:rsid w:val="000E54B2"/>
    <w:rsid w:val="000F3126"/>
    <w:rsid w:val="00114D3F"/>
    <w:rsid w:val="001330E0"/>
    <w:rsid w:val="00147987"/>
    <w:rsid w:val="00160D6E"/>
    <w:rsid w:val="001934F6"/>
    <w:rsid w:val="001B30BA"/>
    <w:rsid w:val="001C24EB"/>
    <w:rsid w:val="001C298E"/>
    <w:rsid w:val="001D19F9"/>
    <w:rsid w:val="001D3BC9"/>
    <w:rsid w:val="001D5717"/>
    <w:rsid w:val="001D6D92"/>
    <w:rsid w:val="001D76BB"/>
    <w:rsid w:val="001E1D14"/>
    <w:rsid w:val="001E1F64"/>
    <w:rsid w:val="001E2B89"/>
    <w:rsid w:val="001E4044"/>
    <w:rsid w:val="001E600A"/>
    <w:rsid w:val="001F0AFE"/>
    <w:rsid w:val="001F3610"/>
    <w:rsid w:val="00200697"/>
    <w:rsid w:val="00203A48"/>
    <w:rsid w:val="00207E57"/>
    <w:rsid w:val="002133DC"/>
    <w:rsid w:val="00226CE3"/>
    <w:rsid w:val="00231AFE"/>
    <w:rsid w:val="0023316D"/>
    <w:rsid w:val="002343B0"/>
    <w:rsid w:val="00256E84"/>
    <w:rsid w:val="00257798"/>
    <w:rsid w:val="00263576"/>
    <w:rsid w:val="0028409F"/>
    <w:rsid w:val="002873F9"/>
    <w:rsid w:val="00292F37"/>
    <w:rsid w:val="002A1549"/>
    <w:rsid w:val="002A17F5"/>
    <w:rsid w:val="002A2D95"/>
    <w:rsid w:val="002C0EDE"/>
    <w:rsid w:val="002C1BA9"/>
    <w:rsid w:val="002C3047"/>
    <w:rsid w:val="002D571E"/>
    <w:rsid w:val="002E03C4"/>
    <w:rsid w:val="002F553D"/>
    <w:rsid w:val="003040E8"/>
    <w:rsid w:val="0031170E"/>
    <w:rsid w:val="00311D34"/>
    <w:rsid w:val="00332FDA"/>
    <w:rsid w:val="00344BDA"/>
    <w:rsid w:val="00353FDB"/>
    <w:rsid w:val="0036489F"/>
    <w:rsid w:val="00392CF0"/>
    <w:rsid w:val="003A6F16"/>
    <w:rsid w:val="003B4CED"/>
    <w:rsid w:val="003C2F0B"/>
    <w:rsid w:val="003C6C1D"/>
    <w:rsid w:val="003C77EB"/>
    <w:rsid w:val="003D06F5"/>
    <w:rsid w:val="003D668F"/>
    <w:rsid w:val="003E1831"/>
    <w:rsid w:val="003F0CB8"/>
    <w:rsid w:val="003F67C1"/>
    <w:rsid w:val="003F7248"/>
    <w:rsid w:val="004008A8"/>
    <w:rsid w:val="004056A3"/>
    <w:rsid w:val="00422CDB"/>
    <w:rsid w:val="0042468C"/>
    <w:rsid w:val="00436360"/>
    <w:rsid w:val="00472A94"/>
    <w:rsid w:val="004938E5"/>
    <w:rsid w:val="004A6E41"/>
    <w:rsid w:val="004D40D2"/>
    <w:rsid w:val="004D415E"/>
    <w:rsid w:val="004E2AD9"/>
    <w:rsid w:val="004E2B7C"/>
    <w:rsid w:val="004E5D70"/>
    <w:rsid w:val="004F0879"/>
    <w:rsid w:val="004F228F"/>
    <w:rsid w:val="004F66FD"/>
    <w:rsid w:val="00504BD8"/>
    <w:rsid w:val="00510109"/>
    <w:rsid w:val="00517486"/>
    <w:rsid w:val="00522C40"/>
    <w:rsid w:val="005318F5"/>
    <w:rsid w:val="0054029B"/>
    <w:rsid w:val="00541F4D"/>
    <w:rsid w:val="00556B83"/>
    <w:rsid w:val="00560510"/>
    <w:rsid w:val="00564C91"/>
    <w:rsid w:val="00581B1F"/>
    <w:rsid w:val="00590AA6"/>
    <w:rsid w:val="005A021C"/>
    <w:rsid w:val="005A5199"/>
    <w:rsid w:val="005C4C70"/>
    <w:rsid w:val="005E14A8"/>
    <w:rsid w:val="005E3474"/>
    <w:rsid w:val="005F1CD7"/>
    <w:rsid w:val="00604F2D"/>
    <w:rsid w:val="0062519F"/>
    <w:rsid w:val="00680636"/>
    <w:rsid w:val="00684028"/>
    <w:rsid w:val="00684DD3"/>
    <w:rsid w:val="00690CA8"/>
    <w:rsid w:val="00690F14"/>
    <w:rsid w:val="006B1B59"/>
    <w:rsid w:val="006C0A1A"/>
    <w:rsid w:val="006C322B"/>
    <w:rsid w:val="006C4D0F"/>
    <w:rsid w:val="006D332D"/>
    <w:rsid w:val="006E6247"/>
    <w:rsid w:val="006F30D4"/>
    <w:rsid w:val="006F4DCD"/>
    <w:rsid w:val="006F7701"/>
    <w:rsid w:val="00704633"/>
    <w:rsid w:val="00711429"/>
    <w:rsid w:val="00736465"/>
    <w:rsid w:val="00743BDA"/>
    <w:rsid w:val="00747C54"/>
    <w:rsid w:val="007521ED"/>
    <w:rsid w:val="00760008"/>
    <w:rsid w:val="00764AD4"/>
    <w:rsid w:val="0076587F"/>
    <w:rsid w:val="007801B9"/>
    <w:rsid w:val="00787975"/>
    <w:rsid w:val="007A5C43"/>
    <w:rsid w:val="007B4100"/>
    <w:rsid w:val="007C13CA"/>
    <w:rsid w:val="007C3472"/>
    <w:rsid w:val="007C4892"/>
    <w:rsid w:val="007D6582"/>
    <w:rsid w:val="007E01C0"/>
    <w:rsid w:val="007E1046"/>
    <w:rsid w:val="007E455C"/>
    <w:rsid w:val="007E5D4C"/>
    <w:rsid w:val="007E65ED"/>
    <w:rsid w:val="00807086"/>
    <w:rsid w:val="00814343"/>
    <w:rsid w:val="0081725B"/>
    <w:rsid w:val="008200B1"/>
    <w:rsid w:val="0082430D"/>
    <w:rsid w:val="00835665"/>
    <w:rsid w:val="00835E11"/>
    <w:rsid w:val="00843D5F"/>
    <w:rsid w:val="00846DE1"/>
    <w:rsid w:val="008522CB"/>
    <w:rsid w:val="00864ABB"/>
    <w:rsid w:val="00867736"/>
    <w:rsid w:val="0088386F"/>
    <w:rsid w:val="00885432"/>
    <w:rsid w:val="00885C50"/>
    <w:rsid w:val="00894A34"/>
    <w:rsid w:val="008A2312"/>
    <w:rsid w:val="008B5A5C"/>
    <w:rsid w:val="008D4D6C"/>
    <w:rsid w:val="008D6260"/>
    <w:rsid w:val="008F189A"/>
    <w:rsid w:val="00900BBF"/>
    <w:rsid w:val="00912532"/>
    <w:rsid w:val="00925028"/>
    <w:rsid w:val="00925DE6"/>
    <w:rsid w:val="00931C80"/>
    <w:rsid w:val="009329C4"/>
    <w:rsid w:val="009375CF"/>
    <w:rsid w:val="0096045C"/>
    <w:rsid w:val="0097061C"/>
    <w:rsid w:val="009720C7"/>
    <w:rsid w:val="00974D2A"/>
    <w:rsid w:val="00984D9C"/>
    <w:rsid w:val="0098676C"/>
    <w:rsid w:val="00990128"/>
    <w:rsid w:val="009A7FD7"/>
    <w:rsid w:val="009B7AC6"/>
    <w:rsid w:val="009C1DF5"/>
    <w:rsid w:val="009D1980"/>
    <w:rsid w:val="009F284F"/>
    <w:rsid w:val="00A063E7"/>
    <w:rsid w:val="00A1021A"/>
    <w:rsid w:val="00A20ECE"/>
    <w:rsid w:val="00A32DEE"/>
    <w:rsid w:val="00A3365A"/>
    <w:rsid w:val="00A35CE1"/>
    <w:rsid w:val="00A370CD"/>
    <w:rsid w:val="00A37534"/>
    <w:rsid w:val="00A43BD4"/>
    <w:rsid w:val="00A44B2A"/>
    <w:rsid w:val="00A51800"/>
    <w:rsid w:val="00A54B20"/>
    <w:rsid w:val="00A65AE0"/>
    <w:rsid w:val="00A77748"/>
    <w:rsid w:val="00A850FA"/>
    <w:rsid w:val="00A91E23"/>
    <w:rsid w:val="00A96012"/>
    <w:rsid w:val="00AA0028"/>
    <w:rsid w:val="00AB6C19"/>
    <w:rsid w:val="00AB718F"/>
    <w:rsid w:val="00AD1D03"/>
    <w:rsid w:val="00AD3A25"/>
    <w:rsid w:val="00AD495F"/>
    <w:rsid w:val="00AE4613"/>
    <w:rsid w:val="00B03025"/>
    <w:rsid w:val="00B05B10"/>
    <w:rsid w:val="00B067FC"/>
    <w:rsid w:val="00B2205B"/>
    <w:rsid w:val="00B24B6A"/>
    <w:rsid w:val="00B24C5E"/>
    <w:rsid w:val="00B35527"/>
    <w:rsid w:val="00B46768"/>
    <w:rsid w:val="00B477B5"/>
    <w:rsid w:val="00B657E3"/>
    <w:rsid w:val="00B73B75"/>
    <w:rsid w:val="00B8047A"/>
    <w:rsid w:val="00B83D99"/>
    <w:rsid w:val="00B84F17"/>
    <w:rsid w:val="00B92012"/>
    <w:rsid w:val="00B92BB8"/>
    <w:rsid w:val="00BA4EBD"/>
    <w:rsid w:val="00BA67D3"/>
    <w:rsid w:val="00BD422D"/>
    <w:rsid w:val="00BE0D38"/>
    <w:rsid w:val="00BE3A22"/>
    <w:rsid w:val="00BE3AD2"/>
    <w:rsid w:val="00C2239B"/>
    <w:rsid w:val="00C25E11"/>
    <w:rsid w:val="00C30BE1"/>
    <w:rsid w:val="00C33E77"/>
    <w:rsid w:val="00C35779"/>
    <w:rsid w:val="00C454B5"/>
    <w:rsid w:val="00C462D0"/>
    <w:rsid w:val="00C53E40"/>
    <w:rsid w:val="00C61808"/>
    <w:rsid w:val="00C62F29"/>
    <w:rsid w:val="00C733B6"/>
    <w:rsid w:val="00C74BD5"/>
    <w:rsid w:val="00C82175"/>
    <w:rsid w:val="00C932AB"/>
    <w:rsid w:val="00C94ADC"/>
    <w:rsid w:val="00CC5E85"/>
    <w:rsid w:val="00CD49C9"/>
    <w:rsid w:val="00CE55BD"/>
    <w:rsid w:val="00CF0E9D"/>
    <w:rsid w:val="00CF4BD0"/>
    <w:rsid w:val="00D22471"/>
    <w:rsid w:val="00D22B09"/>
    <w:rsid w:val="00D2481B"/>
    <w:rsid w:val="00D3042D"/>
    <w:rsid w:val="00D312FF"/>
    <w:rsid w:val="00D371BE"/>
    <w:rsid w:val="00D401EA"/>
    <w:rsid w:val="00D5163E"/>
    <w:rsid w:val="00D56595"/>
    <w:rsid w:val="00D646A8"/>
    <w:rsid w:val="00D71584"/>
    <w:rsid w:val="00D729E4"/>
    <w:rsid w:val="00DA1804"/>
    <w:rsid w:val="00DB223A"/>
    <w:rsid w:val="00DB4436"/>
    <w:rsid w:val="00DB4B1D"/>
    <w:rsid w:val="00DB6EC6"/>
    <w:rsid w:val="00DC444C"/>
    <w:rsid w:val="00DE6B16"/>
    <w:rsid w:val="00E10E6C"/>
    <w:rsid w:val="00E21BA5"/>
    <w:rsid w:val="00E4757C"/>
    <w:rsid w:val="00E54BD5"/>
    <w:rsid w:val="00E7650A"/>
    <w:rsid w:val="00E917BF"/>
    <w:rsid w:val="00E934F0"/>
    <w:rsid w:val="00EB01D4"/>
    <w:rsid w:val="00EB2E74"/>
    <w:rsid w:val="00ED017B"/>
    <w:rsid w:val="00ED0844"/>
    <w:rsid w:val="00EF0548"/>
    <w:rsid w:val="00F040D6"/>
    <w:rsid w:val="00F056F2"/>
    <w:rsid w:val="00F12DB2"/>
    <w:rsid w:val="00F17FEA"/>
    <w:rsid w:val="00F20F80"/>
    <w:rsid w:val="00F24EFA"/>
    <w:rsid w:val="00F25942"/>
    <w:rsid w:val="00F42092"/>
    <w:rsid w:val="00F46C83"/>
    <w:rsid w:val="00F513CB"/>
    <w:rsid w:val="00F6036E"/>
    <w:rsid w:val="00F61CD0"/>
    <w:rsid w:val="00F67061"/>
    <w:rsid w:val="00F805BF"/>
    <w:rsid w:val="00F80629"/>
    <w:rsid w:val="00F83356"/>
    <w:rsid w:val="00F8593C"/>
    <w:rsid w:val="00F90D66"/>
    <w:rsid w:val="00F930F1"/>
    <w:rsid w:val="00F95DD8"/>
    <w:rsid w:val="00FB051F"/>
    <w:rsid w:val="00FC2376"/>
    <w:rsid w:val="00FC29DA"/>
    <w:rsid w:val="00FC57CF"/>
    <w:rsid w:val="00FF3785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oa heading" w:semiHidden="0" w:unhideWhenUsed="0"/>
    <w:lsdException w:name="List Bullet" w:semiHidden="0" w:unhideWhenUsed="0" w:qFormat="1"/>
    <w:lsdException w:name="List Number" w:semiHidden="0" w:unhideWhenUsed="0" w:qFormat="1"/>
    <w:lsdException w:name="List Bullet 2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77748"/>
    <w:pPr>
      <w:jc w:val="both"/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A77748"/>
    <w:pPr>
      <w:keepNext/>
      <w:keepLines/>
      <w:suppressAutoHyphens/>
      <w:spacing w:after="220"/>
      <w:jc w:val="lef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A77748"/>
    <w:pPr>
      <w:keepNext/>
      <w:keepLines/>
      <w:suppressAutoHyphens/>
      <w:spacing w:after="220"/>
      <w:jc w:val="lef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A77748"/>
    <w:pPr>
      <w:keepNext/>
      <w:keepLines/>
      <w:suppressAutoHyphens/>
      <w:spacing w:after="22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semiHidden/>
    <w:rsid w:val="00A77748"/>
    <w:pPr>
      <w:keepNext/>
      <w:keepLines/>
      <w:suppressAutoHyphens/>
      <w:spacing w:after="2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semiHidden/>
    <w:rsid w:val="00A77748"/>
    <w:pPr>
      <w:keepNext/>
      <w:keepLines/>
      <w:suppressAutoHyphens/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semiHidden/>
    <w:rsid w:val="00A77748"/>
    <w:pPr>
      <w:keepNext/>
      <w:keepLines/>
      <w:suppressAutoHyphens/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semiHidden/>
    <w:rsid w:val="00A77748"/>
    <w:pPr>
      <w:keepNext/>
      <w:keepLines/>
      <w:suppressAutoHyphens/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semiHidden/>
    <w:rsid w:val="00A77748"/>
    <w:pPr>
      <w:keepNext/>
      <w:keepLines/>
      <w:suppressAutoHyphens/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semiHidden/>
    <w:rsid w:val="00A77748"/>
    <w:pPr>
      <w:keepNext/>
      <w:keepLines/>
      <w:suppressAutoHyphens/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link w:val="OtsikkoChar"/>
    <w:uiPriority w:val="10"/>
    <w:qFormat/>
    <w:rsid w:val="00A77748"/>
    <w:pPr>
      <w:keepNext/>
      <w:keepLines/>
      <w:suppressAutoHyphens/>
      <w:spacing w:after="220"/>
      <w:contextualSpacing/>
      <w:jc w:val="left"/>
    </w:pPr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4E5D70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4E5D70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4E5D70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4E5D70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E14A8"/>
    <w:rPr>
      <w:rFonts w:asciiTheme="majorHAnsi" w:eastAsiaTheme="majorEastAsia" w:hAnsiTheme="majorHAnsi" w:cstheme="majorBidi"/>
      <w:b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E14A8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E14A8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E14A8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E14A8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E14A8"/>
    <w:rPr>
      <w:rFonts w:asciiTheme="majorHAnsi" w:eastAsiaTheme="majorEastAsia" w:hAnsiTheme="majorHAnsi" w:cstheme="majorBidi"/>
      <w:iCs/>
      <w:szCs w:val="20"/>
    </w:rPr>
  </w:style>
  <w:style w:type="paragraph" w:styleId="Eivli">
    <w:name w:val="No Spacing"/>
    <w:uiPriority w:val="1"/>
    <w:qFormat/>
    <w:rsid w:val="00A77748"/>
    <w:pPr>
      <w:ind w:left="1304"/>
      <w:jc w:val="both"/>
    </w:pPr>
  </w:style>
  <w:style w:type="paragraph" w:styleId="Leipteksti">
    <w:name w:val="Body Text"/>
    <w:basedOn w:val="Normaali"/>
    <w:link w:val="LeiptekstiChar"/>
    <w:qFormat/>
    <w:rsid w:val="00A77748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rsid w:val="001D3BC9"/>
  </w:style>
  <w:style w:type="paragraph" w:styleId="Sisluet1">
    <w:name w:val="toc 1"/>
    <w:basedOn w:val="Normaali"/>
    <w:next w:val="Normaali"/>
    <w:autoRedefine/>
    <w:uiPriority w:val="39"/>
    <w:semiHidden/>
    <w:rsid w:val="00A77748"/>
    <w:pPr>
      <w:spacing w:after="100"/>
    </w:pPr>
  </w:style>
  <w:style w:type="paragraph" w:styleId="Lhdeluettelonotsikko">
    <w:name w:val="toa heading"/>
    <w:basedOn w:val="Normaali"/>
    <w:next w:val="Normaali"/>
    <w:uiPriority w:val="99"/>
    <w:semiHidden/>
    <w:rsid w:val="00A7774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A77748"/>
    <w:pPr>
      <w:tabs>
        <w:tab w:val="center" w:pos="4513"/>
        <w:tab w:val="right" w:pos="9026"/>
      </w:tabs>
      <w:suppressAutoHyphens/>
      <w:jc w:val="left"/>
    </w:pPr>
    <w:rPr>
      <w:rFonts w:ascii="Calibri" w:hAnsi="Calibri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D49C9"/>
    <w:rPr>
      <w:rFonts w:ascii="Calibri" w:hAnsi="Calibri"/>
      <w:sz w:val="16"/>
    </w:rPr>
  </w:style>
  <w:style w:type="character" w:styleId="Paikkamerkkiteksti">
    <w:name w:val="Placeholder Text"/>
    <w:basedOn w:val="Kappaleenoletusfontti"/>
    <w:uiPriority w:val="99"/>
    <w:rsid w:val="00B83D99"/>
    <w:rPr>
      <w:vanish/>
      <w:color w:val="auto"/>
    </w:rPr>
  </w:style>
  <w:style w:type="numbering" w:customStyle="1" w:styleId="MerkittyluetteloSTUK">
    <w:name w:val="Merkitty luettelo STUK"/>
    <w:uiPriority w:val="99"/>
    <w:rsid w:val="001F0AFE"/>
    <w:pPr>
      <w:numPr>
        <w:numId w:val="3"/>
      </w:numPr>
    </w:pPr>
  </w:style>
  <w:style w:type="numbering" w:customStyle="1" w:styleId="NumeroituluetteloSTUK">
    <w:name w:val="Numeroitu luettelo STUK"/>
    <w:uiPriority w:val="99"/>
    <w:rsid w:val="001F0AFE"/>
    <w:pPr>
      <w:numPr>
        <w:numId w:val="5"/>
      </w:numPr>
    </w:pPr>
  </w:style>
  <w:style w:type="paragraph" w:styleId="Merkittyluettelo">
    <w:name w:val="List Bullet"/>
    <w:basedOn w:val="Normaali"/>
    <w:uiPriority w:val="99"/>
    <w:qFormat/>
    <w:rsid w:val="00C33E77"/>
    <w:pPr>
      <w:numPr>
        <w:numId w:val="20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760008"/>
    <w:pPr>
      <w:suppressAutoHyphens/>
      <w:jc w:val="left"/>
    </w:pPr>
  </w:style>
  <w:style w:type="paragraph" w:styleId="Numeroituluettelo">
    <w:name w:val="List Number"/>
    <w:basedOn w:val="Normaali"/>
    <w:uiPriority w:val="99"/>
    <w:qFormat/>
    <w:rsid w:val="00C33E77"/>
    <w:pPr>
      <w:numPr>
        <w:numId w:val="21"/>
      </w:numPr>
      <w:spacing w:after="220"/>
      <w:contextualSpacing/>
    </w:pPr>
  </w:style>
  <w:style w:type="character" w:customStyle="1" w:styleId="YltunnisteChar">
    <w:name w:val="Ylätunniste Char"/>
    <w:basedOn w:val="Kappaleenoletusfontti"/>
    <w:link w:val="Yltunniste"/>
    <w:uiPriority w:val="99"/>
    <w:rsid w:val="00760008"/>
  </w:style>
  <w:style w:type="table" w:styleId="TaulukkoRuudukko">
    <w:name w:val="Table Grid"/>
    <w:basedOn w:val="Normaalitaulukko"/>
    <w:uiPriority w:val="59"/>
    <w:rsid w:val="00A777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unaton">
    <w:name w:val="reunaton"/>
    <w:basedOn w:val="Normaalitaulukko"/>
    <w:uiPriority w:val="99"/>
    <w:qFormat/>
    <w:rsid w:val="00A77748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A7774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008A8"/>
    <w:rPr>
      <w:rFonts w:ascii="Tahoma" w:hAnsi="Tahoma" w:cs="Tahoma"/>
      <w:sz w:val="16"/>
      <w:szCs w:val="16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A77748"/>
    <w:pPr>
      <w:spacing w:before="480" w:after="0"/>
      <w:outlineLvl w:val="9"/>
    </w:pPr>
  </w:style>
  <w:style w:type="paragraph" w:styleId="Merkittyluettelo2">
    <w:name w:val="List Bullet 2"/>
    <w:basedOn w:val="Normaali"/>
    <w:uiPriority w:val="99"/>
    <w:qFormat/>
    <w:rsid w:val="00C33E77"/>
    <w:pPr>
      <w:numPr>
        <w:numId w:val="22"/>
      </w:numPr>
      <w:spacing w:after="220"/>
      <w:contextualSpacing/>
    </w:pPr>
  </w:style>
  <w:style w:type="paragraph" w:styleId="Numeroituluettelo2">
    <w:name w:val="List Number 2"/>
    <w:basedOn w:val="Normaali"/>
    <w:uiPriority w:val="99"/>
    <w:unhideWhenUsed/>
    <w:qFormat/>
    <w:rsid w:val="00C33E77"/>
    <w:pPr>
      <w:numPr>
        <w:numId w:val="23"/>
      </w:numPr>
      <w:spacing w:after="220"/>
      <w:contextualSpacing/>
    </w:pPr>
  </w:style>
  <w:style w:type="numbering" w:customStyle="1" w:styleId="Stukmerkittyluettelo2">
    <w:name w:val="Stuk merkitty luettelo 2"/>
    <w:uiPriority w:val="99"/>
    <w:rsid w:val="001F0AFE"/>
    <w:pPr>
      <w:numPr>
        <w:numId w:val="14"/>
      </w:numPr>
    </w:pPr>
  </w:style>
  <w:style w:type="numbering" w:customStyle="1" w:styleId="Stuknumeroituluettelo2">
    <w:name w:val="Stuk numeroitu luettelo 2"/>
    <w:uiPriority w:val="99"/>
    <w:rsid w:val="001F0AFE"/>
    <w:pPr>
      <w:numPr>
        <w:numId w:val="15"/>
      </w:numPr>
    </w:pPr>
  </w:style>
  <w:style w:type="character" w:styleId="Kommentinviite">
    <w:name w:val="annotation reference"/>
    <w:basedOn w:val="Kappaleenoletusfontti"/>
    <w:uiPriority w:val="99"/>
    <w:semiHidden/>
    <w:unhideWhenUsed/>
    <w:rsid w:val="004056A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4056A3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4056A3"/>
    <w:rPr>
      <w:sz w:val="20"/>
      <w:szCs w:val="20"/>
    </w:rPr>
  </w:style>
  <w:style w:type="paragraph" w:styleId="Luettelokappale">
    <w:name w:val="List Paragraph"/>
    <w:basedOn w:val="Normaali"/>
    <w:uiPriority w:val="34"/>
    <w:semiHidden/>
    <w:qFormat/>
    <w:rsid w:val="00BA67D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C2239B"/>
    <w:rPr>
      <w:color w:val="004C98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1C24EB"/>
    <w:rPr>
      <w:color w:val="800080" w:themeColor="followedHyperlink"/>
      <w:u w:val="singl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C558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C5586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2873F9"/>
  </w:style>
  <w:style w:type="paragraph" w:customStyle="1" w:styleId="LLNormaali">
    <w:name w:val="LLNormaali"/>
    <w:rsid w:val="00C74BD5"/>
    <w:pPr>
      <w:spacing w:line="220" w:lineRule="exact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Kappalejako">
    <w:name w:val="LLKappalejako"/>
    <w:link w:val="LLKappalejakoChar"/>
    <w:autoRedefine/>
    <w:rsid w:val="00C74BD5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LLKappalejakoChar">
    <w:name w:val="LLKappalejako Char"/>
    <w:link w:val="LLKappalejako"/>
    <w:locked/>
    <w:rsid w:val="00C74BD5"/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Pykala">
    <w:name w:val="LLPykala"/>
    <w:next w:val="LLNormaali"/>
    <w:rsid w:val="00C74BD5"/>
    <w:pPr>
      <w:spacing w:line="220" w:lineRule="exact"/>
      <w:jc w:val="center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PykalanOtsikko">
    <w:name w:val="LLPykalanOtsikko"/>
    <w:next w:val="LLNormaali"/>
    <w:rsid w:val="00C74BD5"/>
    <w:pPr>
      <w:spacing w:before="220" w:after="220" w:line="220" w:lineRule="exact"/>
      <w:jc w:val="center"/>
    </w:pPr>
    <w:rPr>
      <w:rFonts w:ascii="Times New Roman" w:eastAsia="Times New Roman" w:hAnsi="Times New Roman" w:cs="Times New Roman"/>
      <w:i/>
      <w:szCs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00419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oa heading" w:semiHidden="0" w:unhideWhenUsed="0"/>
    <w:lsdException w:name="List Bullet" w:semiHidden="0" w:unhideWhenUsed="0" w:qFormat="1"/>
    <w:lsdException w:name="List Number" w:semiHidden="0" w:unhideWhenUsed="0" w:qFormat="1"/>
    <w:lsdException w:name="List Bullet 2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77748"/>
    <w:pPr>
      <w:jc w:val="both"/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A77748"/>
    <w:pPr>
      <w:keepNext/>
      <w:keepLines/>
      <w:suppressAutoHyphens/>
      <w:spacing w:after="220"/>
      <w:jc w:val="lef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A77748"/>
    <w:pPr>
      <w:keepNext/>
      <w:keepLines/>
      <w:suppressAutoHyphens/>
      <w:spacing w:after="220"/>
      <w:jc w:val="lef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A77748"/>
    <w:pPr>
      <w:keepNext/>
      <w:keepLines/>
      <w:suppressAutoHyphens/>
      <w:spacing w:after="22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semiHidden/>
    <w:rsid w:val="00A77748"/>
    <w:pPr>
      <w:keepNext/>
      <w:keepLines/>
      <w:suppressAutoHyphens/>
      <w:spacing w:after="2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semiHidden/>
    <w:rsid w:val="00A77748"/>
    <w:pPr>
      <w:keepNext/>
      <w:keepLines/>
      <w:suppressAutoHyphens/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semiHidden/>
    <w:rsid w:val="00A77748"/>
    <w:pPr>
      <w:keepNext/>
      <w:keepLines/>
      <w:suppressAutoHyphens/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semiHidden/>
    <w:rsid w:val="00A77748"/>
    <w:pPr>
      <w:keepNext/>
      <w:keepLines/>
      <w:suppressAutoHyphens/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semiHidden/>
    <w:rsid w:val="00A77748"/>
    <w:pPr>
      <w:keepNext/>
      <w:keepLines/>
      <w:suppressAutoHyphens/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semiHidden/>
    <w:rsid w:val="00A77748"/>
    <w:pPr>
      <w:keepNext/>
      <w:keepLines/>
      <w:suppressAutoHyphens/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link w:val="OtsikkoChar"/>
    <w:uiPriority w:val="10"/>
    <w:qFormat/>
    <w:rsid w:val="00A77748"/>
    <w:pPr>
      <w:keepNext/>
      <w:keepLines/>
      <w:suppressAutoHyphens/>
      <w:spacing w:after="220"/>
      <w:contextualSpacing/>
      <w:jc w:val="left"/>
    </w:pPr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4E5D70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4E5D70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4E5D70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4E5D70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E14A8"/>
    <w:rPr>
      <w:rFonts w:asciiTheme="majorHAnsi" w:eastAsiaTheme="majorEastAsia" w:hAnsiTheme="majorHAnsi" w:cstheme="majorBidi"/>
      <w:b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E14A8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E14A8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E14A8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E14A8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E14A8"/>
    <w:rPr>
      <w:rFonts w:asciiTheme="majorHAnsi" w:eastAsiaTheme="majorEastAsia" w:hAnsiTheme="majorHAnsi" w:cstheme="majorBidi"/>
      <w:iCs/>
      <w:szCs w:val="20"/>
    </w:rPr>
  </w:style>
  <w:style w:type="paragraph" w:styleId="Eivli">
    <w:name w:val="No Spacing"/>
    <w:uiPriority w:val="1"/>
    <w:qFormat/>
    <w:rsid w:val="00A77748"/>
    <w:pPr>
      <w:ind w:left="1304"/>
      <w:jc w:val="both"/>
    </w:pPr>
  </w:style>
  <w:style w:type="paragraph" w:styleId="Leipteksti">
    <w:name w:val="Body Text"/>
    <w:basedOn w:val="Normaali"/>
    <w:link w:val="LeiptekstiChar"/>
    <w:qFormat/>
    <w:rsid w:val="00A77748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rsid w:val="001D3BC9"/>
  </w:style>
  <w:style w:type="paragraph" w:styleId="Sisluet1">
    <w:name w:val="toc 1"/>
    <w:basedOn w:val="Normaali"/>
    <w:next w:val="Normaali"/>
    <w:autoRedefine/>
    <w:uiPriority w:val="39"/>
    <w:semiHidden/>
    <w:rsid w:val="00A77748"/>
    <w:pPr>
      <w:spacing w:after="100"/>
    </w:pPr>
  </w:style>
  <w:style w:type="paragraph" w:styleId="Lhdeluettelonotsikko">
    <w:name w:val="toa heading"/>
    <w:basedOn w:val="Normaali"/>
    <w:next w:val="Normaali"/>
    <w:uiPriority w:val="99"/>
    <w:semiHidden/>
    <w:rsid w:val="00A7774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A77748"/>
    <w:pPr>
      <w:tabs>
        <w:tab w:val="center" w:pos="4513"/>
        <w:tab w:val="right" w:pos="9026"/>
      </w:tabs>
      <w:suppressAutoHyphens/>
      <w:jc w:val="left"/>
    </w:pPr>
    <w:rPr>
      <w:rFonts w:ascii="Calibri" w:hAnsi="Calibri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D49C9"/>
    <w:rPr>
      <w:rFonts w:ascii="Calibri" w:hAnsi="Calibri"/>
      <w:sz w:val="16"/>
    </w:rPr>
  </w:style>
  <w:style w:type="character" w:styleId="Paikkamerkkiteksti">
    <w:name w:val="Placeholder Text"/>
    <w:basedOn w:val="Kappaleenoletusfontti"/>
    <w:uiPriority w:val="99"/>
    <w:rsid w:val="00B83D99"/>
    <w:rPr>
      <w:vanish/>
      <w:color w:val="auto"/>
    </w:rPr>
  </w:style>
  <w:style w:type="numbering" w:customStyle="1" w:styleId="MerkittyluetteloSTUK">
    <w:name w:val="Merkitty luettelo STUK"/>
    <w:uiPriority w:val="99"/>
    <w:rsid w:val="001F0AFE"/>
    <w:pPr>
      <w:numPr>
        <w:numId w:val="3"/>
      </w:numPr>
    </w:pPr>
  </w:style>
  <w:style w:type="numbering" w:customStyle="1" w:styleId="NumeroituluetteloSTUK">
    <w:name w:val="Numeroitu luettelo STUK"/>
    <w:uiPriority w:val="99"/>
    <w:rsid w:val="001F0AFE"/>
    <w:pPr>
      <w:numPr>
        <w:numId w:val="5"/>
      </w:numPr>
    </w:pPr>
  </w:style>
  <w:style w:type="paragraph" w:styleId="Merkittyluettelo">
    <w:name w:val="List Bullet"/>
    <w:basedOn w:val="Normaali"/>
    <w:uiPriority w:val="99"/>
    <w:qFormat/>
    <w:rsid w:val="00C33E77"/>
    <w:pPr>
      <w:numPr>
        <w:numId w:val="20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760008"/>
    <w:pPr>
      <w:suppressAutoHyphens/>
      <w:jc w:val="left"/>
    </w:pPr>
  </w:style>
  <w:style w:type="paragraph" w:styleId="Numeroituluettelo">
    <w:name w:val="List Number"/>
    <w:basedOn w:val="Normaali"/>
    <w:uiPriority w:val="99"/>
    <w:qFormat/>
    <w:rsid w:val="00C33E77"/>
    <w:pPr>
      <w:numPr>
        <w:numId w:val="21"/>
      </w:numPr>
      <w:spacing w:after="220"/>
      <w:contextualSpacing/>
    </w:pPr>
  </w:style>
  <w:style w:type="character" w:customStyle="1" w:styleId="YltunnisteChar">
    <w:name w:val="Ylätunniste Char"/>
    <w:basedOn w:val="Kappaleenoletusfontti"/>
    <w:link w:val="Yltunniste"/>
    <w:uiPriority w:val="99"/>
    <w:rsid w:val="00760008"/>
  </w:style>
  <w:style w:type="table" w:styleId="TaulukkoRuudukko">
    <w:name w:val="Table Grid"/>
    <w:basedOn w:val="Normaalitaulukko"/>
    <w:uiPriority w:val="59"/>
    <w:rsid w:val="00A777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unaton">
    <w:name w:val="reunaton"/>
    <w:basedOn w:val="Normaalitaulukko"/>
    <w:uiPriority w:val="99"/>
    <w:qFormat/>
    <w:rsid w:val="00A77748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A7774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008A8"/>
    <w:rPr>
      <w:rFonts w:ascii="Tahoma" w:hAnsi="Tahoma" w:cs="Tahoma"/>
      <w:sz w:val="16"/>
      <w:szCs w:val="16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A77748"/>
    <w:pPr>
      <w:spacing w:before="480" w:after="0"/>
      <w:outlineLvl w:val="9"/>
    </w:pPr>
  </w:style>
  <w:style w:type="paragraph" w:styleId="Merkittyluettelo2">
    <w:name w:val="List Bullet 2"/>
    <w:basedOn w:val="Normaali"/>
    <w:uiPriority w:val="99"/>
    <w:qFormat/>
    <w:rsid w:val="00C33E77"/>
    <w:pPr>
      <w:numPr>
        <w:numId w:val="22"/>
      </w:numPr>
      <w:spacing w:after="220"/>
      <w:contextualSpacing/>
    </w:pPr>
  </w:style>
  <w:style w:type="paragraph" w:styleId="Numeroituluettelo2">
    <w:name w:val="List Number 2"/>
    <w:basedOn w:val="Normaali"/>
    <w:uiPriority w:val="99"/>
    <w:unhideWhenUsed/>
    <w:qFormat/>
    <w:rsid w:val="00C33E77"/>
    <w:pPr>
      <w:numPr>
        <w:numId w:val="23"/>
      </w:numPr>
      <w:spacing w:after="220"/>
      <w:contextualSpacing/>
    </w:pPr>
  </w:style>
  <w:style w:type="numbering" w:customStyle="1" w:styleId="Stukmerkittyluettelo2">
    <w:name w:val="Stuk merkitty luettelo 2"/>
    <w:uiPriority w:val="99"/>
    <w:rsid w:val="001F0AFE"/>
    <w:pPr>
      <w:numPr>
        <w:numId w:val="14"/>
      </w:numPr>
    </w:pPr>
  </w:style>
  <w:style w:type="numbering" w:customStyle="1" w:styleId="Stuknumeroituluettelo2">
    <w:name w:val="Stuk numeroitu luettelo 2"/>
    <w:uiPriority w:val="99"/>
    <w:rsid w:val="001F0AFE"/>
    <w:pPr>
      <w:numPr>
        <w:numId w:val="15"/>
      </w:numPr>
    </w:pPr>
  </w:style>
  <w:style w:type="character" w:styleId="Kommentinviite">
    <w:name w:val="annotation reference"/>
    <w:basedOn w:val="Kappaleenoletusfontti"/>
    <w:uiPriority w:val="99"/>
    <w:semiHidden/>
    <w:unhideWhenUsed/>
    <w:rsid w:val="004056A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4056A3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4056A3"/>
    <w:rPr>
      <w:sz w:val="20"/>
      <w:szCs w:val="20"/>
    </w:rPr>
  </w:style>
  <w:style w:type="paragraph" w:styleId="Luettelokappale">
    <w:name w:val="List Paragraph"/>
    <w:basedOn w:val="Normaali"/>
    <w:uiPriority w:val="34"/>
    <w:semiHidden/>
    <w:qFormat/>
    <w:rsid w:val="00BA67D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C2239B"/>
    <w:rPr>
      <w:color w:val="004C98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1C24EB"/>
    <w:rPr>
      <w:color w:val="800080" w:themeColor="followedHyperlink"/>
      <w:u w:val="singl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C558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C5586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2873F9"/>
  </w:style>
  <w:style w:type="paragraph" w:customStyle="1" w:styleId="LLNormaali">
    <w:name w:val="LLNormaali"/>
    <w:rsid w:val="00C74BD5"/>
    <w:pPr>
      <w:spacing w:line="220" w:lineRule="exact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Kappalejako">
    <w:name w:val="LLKappalejako"/>
    <w:link w:val="LLKappalejakoChar"/>
    <w:autoRedefine/>
    <w:rsid w:val="00C74BD5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LLKappalejakoChar">
    <w:name w:val="LLKappalejako Char"/>
    <w:link w:val="LLKappalejako"/>
    <w:locked/>
    <w:rsid w:val="00C74BD5"/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Pykala">
    <w:name w:val="LLPykala"/>
    <w:next w:val="LLNormaali"/>
    <w:rsid w:val="00C74BD5"/>
    <w:pPr>
      <w:spacing w:line="220" w:lineRule="exact"/>
      <w:jc w:val="center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PykalanOtsikko">
    <w:name w:val="LLPykalanOtsikko"/>
    <w:next w:val="LLNormaali"/>
    <w:rsid w:val="00C74BD5"/>
    <w:pPr>
      <w:spacing w:before="220" w:after="220" w:line="220" w:lineRule="exact"/>
      <w:jc w:val="center"/>
    </w:pPr>
    <w:rPr>
      <w:rFonts w:ascii="Times New Roman" w:eastAsia="Times New Roman" w:hAnsi="Times New Roman" w:cs="Times New Roman"/>
      <w:i/>
      <w:szCs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00419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5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7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4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finlex.fi/fi/viranomaiset/normi/555001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\AppData\Roaming\Microsoft\Templates\STUK%20suomi\Tyhj&#228;%20asiakirja.dotx" TargetMode="External"/></Relationships>
</file>

<file path=word/theme/theme1.xml><?xml version="1.0" encoding="utf-8"?>
<a:theme xmlns:a="http://schemas.openxmlformats.org/drawingml/2006/main" name="STUK">
  <a:themeElements>
    <a:clrScheme name="_STUK colors">
      <a:dk1>
        <a:sysClr val="windowText" lastClr="000000"/>
      </a:dk1>
      <a:lt1>
        <a:sysClr val="window" lastClr="FFFFFF"/>
      </a:lt1>
      <a:dk2>
        <a:srgbClr val="004C98"/>
      </a:dk2>
      <a:lt2>
        <a:srgbClr val="D8D090"/>
      </a:lt2>
      <a:accent1>
        <a:srgbClr val="004C98"/>
      </a:accent1>
      <a:accent2>
        <a:srgbClr val="00822D"/>
      </a:accent2>
      <a:accent3>
        <a:srgbClr val="CB1815"/>
      </a:accent3>
      <a:accent4>
        <a:srgbClr val="FB8B00"/>
      </a:accent4>
      <a:accent5>
        <a:srgbClr val="424A52"/>
      </a:accent5>
      <a:accent6>
        <a:srgbClr val="D8D090"/>
      </a:accent6>
      <a:hlink>
        <a:srgbClr val="004C98"/>
      </a:hlink>
      <a:folHlink>
        <a:srgbClr val="800080"/>
      </a:folHlink>
    </a:clrScheme>
    <a:fontScheme name="Mukautettu 2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v4</Abstract>
  <CompanyAddress/>
  <CompanyPhone/>
  <CompanyFax>#1807379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C07013-1212-466E-82D9-AF898970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Tyhjä asiakirja.dotx</Template>
  <TotalTime>1</TotalTime>
  <Pages>4</Pages>
  <Words>570</Words>
  <Characters>4620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Säteilyturvakeskus STUK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 Ylianttila</dc:creator>
  <cp:lastModifiedBy>Jaana Sinisalo</cp:lastModifiedBy>
  <cp:revision>2</cp:revision>
  <cp:lastPrinted>2018-11-06T07:00:00Z</cp:lastPrinted>
  <dcterms:created xsi:type="dcterms:W3CDTF">2018-11-06T11:14:00Z</dcterms:created>
  <dcterms:modified xsi:type="dcterms:W3CDTF">2018-11-06T11:14:00Z</dcterms:modified>
</cp:coreProperties>
</file>